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F" w:rsidRDefault="00DD3A7F" w:rsidP="00D76CCC">
      <w:pPr>
        <w:rPr>
          <w:rFonts w:cs="Arial"/>
          <w:b/>
        </w:rPr>
      </w:pPr>
      <w:r w:rsidRPr="00E828DD">
        <w:rPr>
          <w:rFonts w:cs="Arial"/>
          <w:b/>
        </w:rPr>
        <w:t xml:space="preserve">Příloha č. </w:t>
      </w:r>
      <w:r w:rsidR="00054E5A">
        <w:rPr>
          <w:rFonts w:cs="Arial"/>
          <w:b/>
        </w:rPr>
        <w:t>9</w:t>
      </w:r>
    </w:p>
    <w:p w:rsidR="00DD3A7F" w:rsidRPr="00D76CCC" w:rsidRDefault="007E5C3D" w:rsidP="00D76CCC">
      <w:pPr>
        <w:rPr>
          <w:rFonts w:cs="Arial"/>
          <w:b/>
          <w:sz w:val="10"/>
          <w:szCs w:val="10"/>
        </w:rPr>
      </w:pPr>
      <w:r w:rsidRPr="007E5C3D">
        <w:rPr>
          <w:noProof/>
          <w:lang w:eastAsia="cs-CZ"/>
        </w:rPr>
        <w:pict>
          <v:rect id="Rectangle 2" o:spid="_x0000_s1029" style="position:absolute;left:0;text-align:left;margin-left:-4.85pt;margin-top:3.05pt;width:463.5pt;height:26.4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" fillcolor="#f2f2f2"/>
        </w:pict>
      </w:r>
    </w:p>
    <w:p w:rsidR="00DD3A7F" w:rsidRPr="00250C10" w:rsidRDefault="00DD3A7F" w:rsidP="00D76CCC">
      <w:pPr>
        <w:jc w:val="center"/>
        <w:rPr>
          <w:rFonts w:cs="Arial"/>
          <w:sz w:val="28"/>
          <w:szCs w:val="28"/>
        </w:rPr>
      </w:pPr>
      <w:r w:rsidRPr="00250C10">
        <w:rPr>
          <w:rFonts w:cs="Arial"/>
          <w:b/>
          <w:sz w:val="28"/>
          <w:szCs w:val="28"/>
        </w:rPr>
        <w:t>Závazné body P</w:t>
      </w:r>
      <w:r w:rsidR="00231648">
        <w:rPr>
          <w:rFonts w:cs="Arial"/>
          <w:b/>
          <w:sz w:val="28"/>
          <w:szCs w:val="28"/>
        </w:rPr>
        <w:t>lánu realizace zakázky</w:t>
      </w:r>
    </w:p>
    <w:p w:rsidR="00DD3A7F" w:rsidRPr="00E828DD" w:rsidRDefault="00DD3A7F" w:rsidP="00D76CCC">
      <w:pPr>
        <w:jc w:val="center"/>
        <w:rPr>
          <w:rFonts w:cs="Arial"/>
        </w:rPr>
      </w:pPr>
    </w:p>
    <w:p w:rsidR="00DD3A7F" w:rsidRDefault="00DD3A7F" w:rsidP="00D76CCC">
      <w:pPr>
        <w:jc w:val="center"/>
        <w:rPr>
          <w:rFonts w:cs="Arial"/>
        </w:rPr>
      </w:pPr>
      <w:r w:rsidRPr="00E828DD">
        <w:rPr>
          <w:rFonts w:cs="Arial"/>
        </w:rPr>
        <w:t>Veřejná zakázka</w:t>
      </w:r>
    </w:p>
    <w:p w:rsidR="00DD3A7F" w:rsidRPr="004F3FC3" w:rsidRDefault="00DD3A7F" w:rsidP="00D76CCC">
      <w:pPr>
        <w:jc w:val="center"/>
        <w:rPr>
          <w:rFonts w:cs="Arial"/>
          <w:sz w:val="6"/>
          <w:szCs w:val="6"/>
        </w:rPr>
      </w:pPr>
    </w:p>
    <w:p w:rsidR="00DD3A7F" w:rsidRPr="00FA0207" w:rsidRDefault="00DD3A7F" w:rsidP="00D76CCC">
      <w:pPr>
        <w:spacing w:after="120"/>
        <w:jc w:val="center"/>
        <w:rPr>
          <w:b/>
          <w:sz w:val="28"/>
          <w:szCs w:val="28"/>
        </w:rPr>
      </w:pPr>
      <w:r w:rsidRPr="003171FA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Vodovod Libotov</w:t>
      </w:r>
      <w:r w:rsidRPr="003171FA">
        <w:rPr>
          <w:b/>
          <w:bCs/>
          <w:i/>
          <w:iCs/>
          <w:sz w:val="28"/>
          <w:szCs w:val="28"/>
        </w:rPr>
        <w:t>“</w:t>
      </w:r>
    </w:p>
    <w:p w:rsidR="00DD3A7F" w:rsidRPr="00D76CCC" w:rsidRDefault="00DD3A7F" w:rsidP="00D76CCC">
      <w:pPr>
        <w:tabs>
          <w:tab w:val="left" w:pos="2835"/>
        </w:tabs>
        <w:rPr>
          <w:rFonts w:cs="Arial"/>
          <w:b/>
          <w:bCs/>
          <w:u w:val="single"/>
        </w:rPr>
      </w:pPr>
      <w:r w:rsidRPr="00D76CCC">
        <w:rPr>
          <w:rFonts w:cs="Arial"/>
          <w:b/>
          <w:bCs/>
          <w:u w:val="single"/>
        </w:rPr>
        <w:t>Zadavatel:</w:t>
      </w:r>
      <w:r w:rsidRPr="00D76CCC">
        <w:rPr>
          <w:rFonts w:cs="Arial"/>
          <w:b/>
          <w:bCs/>
        </w:rPr>
        <w:tab/>
      </w:r>
    </w:p>
    <w:p w:rsidR="00DD3A7F" w:rsidRPr="0039446F" w:rsidRDefault="00DD3A7F" w:rsidP="00D76CCC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b/>
          <w:bCs/>
        </w:rPr>
        <w:t>Obec Libotov</w:t>
      </w:r>
    </w:p>
    <w:p w:rsidR="00DD3A7F" w:rsidRDefault="00DD3A7F" w:rsidP="00D76CCC">
      <w:pPr>
        <w:tabs>
          <w:tab w:val="left" w:pos="2835"/>
        </w:tabs>
        <w:rPr>
          <w:rFonts w:cs="Arial"/>
          <w:bCs/>
        </w:rPr>
      </w:pPr>
      <w:r>
        <w:rPr>
          <w:rFonts w:cs="Arial"/>
          <w:bCs/>
        </w:rPr>
        <w:t>právní forma:</w:t>
      </w:r>
      <w:r>
        <w:rPr>
          <w:rFonts w:cs="Arial"/>
          <w:bCs/>
        </w:rPr>
        <w:tab/>
        <w:t>obec</w:t>
      </w:r>
    </w:p>
    <w:p w:rsidR="00DD3A7F" w:rsidRPr="0039446F" w:rsidRDefault="00DD3A7F" w:rsidP="00D76CCC">
      <w:pPr>
        <w:tabs>
          <w:tab w:val="left" w:pos="2835"/>
        </w:tabs>
        <w:rPr>
          <w:rFonts w:cs="Arial"/>
          <w:bCs/>
        </w:rPr>
      </w:pPr>
      <w:r w:rsidRPr="0039446F">
        <w:rPr>
          <w:rFonts w:cs="Arial"/>
          <w:bCs/>
        </w:rPr>
        <w:t>sídlem:</w:t>
      </w:r>
      <w:r w:rsidRPr="0039446F">
        <w:rPr>
          <w:rFonts w:cs="Arial"/>
          <w:bCs/>
        </w:rPr>
        <w:tab/>
      </w:r>
      <w:r>
        <w:rPr>
          <w:rFonts w:cs="Arial"/>
          <w:bCs/>
        </w:rPr>
        <w:t>Libotov 80</w:t>
      </w:r>
      <w:r w:rsidRPr="0039446F">
        <w:rPr>
          <w:rFonts w:cs="Arial"/>
          <w:bCs/>
        </w:rPr>
        <w:t xml:space="preserve">, </w:t>
      </w:r>
      <w:r>
        <w:rPr>
          <w:rFonts w:cs="Arial"/>
          <w:bCs/>
        </w:rPr>
        <w:t>544 01 Dvůr Králové nad Labem</w:t>
      </w:r>
    </w:p>
    <w:p w:rsidR="00DD3A7F" w:rsidRPr="0039446F" w:rsidRDefault="00DD3A7F" w:rsidP="00D76CCC">
      <w:pPr>
        <w:tabs>
          <w:tab w:val="left" w:pos="2835"/>
        </w:tabs>
        <w:rPr>
          <w:rFonts w:cs="Arial"/>
          <w:bCs/>
        </w:rPr>
      </w:pPr>
      <w:r w:rsidRPr="0039446F">
        <w:rPr>
          <w:rFonts w:cs="Arial"/>
          <w:bCs/>
        </w:rPr>
        <w:t>IČ:</w:t>
      </w:r>
      <w:r w:rsidRPr="0039446F">
        <w:rPr>
          <w:rFonts w:cs="Arial"/>
          <w:bCs/>
        </w:rPr>
        <w:tab/>
      </w:r>
      <w:r>
        <w:rPr>
          <w:rFonts w:cs="Arial"/>
          <w:bCs/>
        </w:rPr>
        <w:tab/>
      </w:r>
      <w:r>
        <w:t>005</w:t>
      </w:r>
      <w:r w:rsidR="00231648">
        <w:t xml:space="preserve"> </w:t>
      </w:r>
      <w:r>
        <w:t>78</w:t>
      </w:r>
      <w:r w:rsidR="00231648">
        <w:t xml:space="preserve"> </w:t>
      </w:r>
      <w:r>
        <w:t>193</w:t>
      </w:r>
    </w:p>
    <w:p w:rsidR="00DD3A7F" w:rsidRPr="0039446F" w:rsidRDefault="00DD3A7F" w:rsidP="00D76CCC">
      <w:pPr>
        <w:tabs>
          <w:tab w:val="left" w:pos="2835"/>
        </w:tabs>
        <w:ind w:left="3540" w:hanging="3540"/>
        <w:rPr>
          <w:rFonts w:cs="Arial"/>
          <w:bCs/>
        </w:rPr>
      </w:pPr>
      <w:r w:rsidRPr="0039446F">
        <w:rPr>
          <w:rFonts w:cs="Arial"/>
          <w:bCs/>
        </w:rPr>
        <w:t>jejímž jménem jedná:</w:t>
      </w:r>
      <w:r w:rsidRPr="0039446F">
        <w:rPr>
          <w:rFonts w:cs="Arial"/>
          <w:bCs/>
        </w:rPr>
        <w:tab/>
      </w:r>
      <w:r>
        <w:rPr>
          <w:rFonts w:cs="Arial"/>
          <w:bCs/>
        </w:rPr>
        <w:t>Otto Tasler</w:t>
      </w:r>
      <w:r w:rsidRPr="0039446F">
        <w:rPr>
          <w:rFonts w:cs="Arial"/>
          <w:bCs/>
        </w:rPr>
        <w:t>, starosta obce</w:t>
      </w:r>
    </w:p>
    <w:p w:rsidR="00DD3A7F" w:rsidRDefault="00DD3A7F" w:rsidP="00D76CCC">
      <w:pPr>
        <w:jc w:val="left"/>
      </w:pPr>
    </w:p>
    <w:p w:rsidR="00DD3A7F" w:rsidRPr="005E3446" w:rsidRDefault="00DD3A7F" w:rsidP="00D76CCC">
      <w:pPr>
        <w:jc w:val="left"/>
      </w:pPr>
    </w:p>
    <w:p w:rsidR="00DD3A7F" w:rsidRDefault="00DD3A7F" w:rsidP="00231648">
      <w:pPr>
        <w:spacing w:line="276" w:lineRule="auto"/>
        <w:ind w:left="0" w:firstLine="567"/>
        <w:rPr>
          <w:rFonts w:cs="Arial"/>
        </w:rPr>
      </w:pPr>
      <w:r w:rsidRPr="005E3446">
        <w:t>Zadavatel tímto v souladu se zněním čl. 5 odst. 5.</w:t>
      </w:r>
      <w:r>
        <w:t>4</w:t>
      </w:r>
      <w:r w:rsidRPr="005E3446">
        <w:t xml:space="preserve"> písm. </w:t>
      </w:r>
      <w:r>
        <w:t>e</w:t>
      </w:r>
      <w:r w:rsidR="00231648">
        <w:t>) Zadávac</w:t>
      </w:r>
      <w:r w:rsidRPr="005E3446">
        <w:t xml:space="preserve">í dokumentace tímto stanovuje </w:t>
      </w:r>
      <w:r w:rsidRPr="005E3446">
        <w:rPr>
          <w:b/>
        </w:rPr>
        <w:t xml:space="preserve">závazné body Plánu </w:t>
      </w:r>
      <w:r>
        <w:rPr>
          <w:b/>
        </w:rPr>
        <w:t>realizace zakázky</w:t>
      </w:r>
      <w:r w:rsidRPr="005E3446">
        <w:t xml:space="preserve"> (dále jen „</w:t>
      </w:r>
      <w:r w:rsidRPr="005E3446">
        <w:rPr>
          <w:b/>
        </w:rPr>
        <w:t>P</w:t>
      </w:r>
      <w:r>
        <w:rPr>
          <w:b/>
        </w:rPr>
        <w:t>RZ</w:t>
      </w:r>
      <w:r w:rsidRPr="005E3446">
        <w:t xml:space="preserve">“). </w:t>
      </w:r>
      <w:r w:rsidRPr="005E3446">
        <w:rPr>
          <w:b/>
        </w:rPr>
        <w:t>P</w:t>
      </w:r>
      <w:r>
        <w:rPr>
          <w:b/>
        </w:rPr>
        <w:t>RZ</w:t>
      </w:r>
      <w:r w:rsidRPr="005E3446">
        <w:rPr>
          <w:b/>
        </w:rPr>
        <w:t xml:space="preserve"> je povinen každý z</w:t>
      </w:r>
      <w:r w:rsidRPr="005E3446">
        <w:rPr>
          <w:rFonts w:cs="Arial"/>
          <w:b/>
        </w:rPr>
        <w:t xml:space="preserve">ájemce (dodavatel) </w:t>
      </w:r>
      <w:r w:rsidRPr="005E3446">
        <w:rPr>
          <w:b/>
        </w:rPr>
        <w:t xml:space="preserve">předložit v rámci </w:t>
      </w:r>
      <w:r w:rsidRPr="009C62BD">
        <w:rPr>
          <w:b/>
        </w:rPr>
        <w:t xml:space="preserve">své nabídky k prokázání příslušného technického kvalifikačního předpokladu stanoveného v souladu s </w:t>
      </w:r>
      <w:r w:rsidRPr="009C62BD">
        <w:rPr>
          <w:rFonts w:cs="Arial"/>
          <w:b/>
        </w:rPr>
        <w:t>§ 56 odst. 3 písm. f) zákona č. 137/2006 Sb., o veřejných zakázkách, v platném znění</w:t>
      </w:r>
      <w:r>
        <w:rPr>
          <w:rFonts w:cs="Arial"/>
        </w:rPr>
        <w:t>.</w:t>
      </w:r>
    </w:p>
    <w:p w:rsidR="00DD3A7F" w:rsidRDefault="00DD3A7F" w:rsidP="00D76CCC">
      <w:pPr>
        <w:ind w:left="0" w:firstLine="567"/>
        <w:jc w:val="left"/>
        <w:rPr>
          <w:rFonts w:cs="Arial"/>
        </w:rPr>
      </w:pPr>
    </w:p>
    <w:p w:rsidR="00DD3A7F" w:rsidRDefault="00DD3A7F" w:rsidP="00231648">
      <w:pPr>
        <w:spacing w:line="276" w:lineRule="auto"/>
        <w:ind w:left="0" w:firstLine="567"/>
        <w:rPr>
          <w:rFonts w:cs="Arial"/>
        </w:rPr>
      </w:pPr>
      <w:r>
        <w:rPr>
          <w:rFonts w:cs="Arial"/>
        </w:rPr>
        <w:t>PRZ je pro zadavatele důležitou a podstatnou součástí budoucí výstavby a řeší koncepci realizace předmětné stavby. Závazné body, jež bude povinně obsahovat každý PRZ uchazeče v rámci předložené nabídky v tomto zadávacím řízení, jsou následující:</w:t>
      </w:r>
    </w:p>
    <w:p w:rsidR="00DD3A7F" w:rsidRPr="009C62BD" w:rsidRDefault="00DD3A7F" w:rsidP="00745762">
      <w:pPr>
        <w:jc w:val="left"/>
        <w:rPr>
          <w:sz w:val="10"/>
          <w:szCs w:val="10"/>
        </w:rPr>
      </w:pPr>
    </w:p>
    <w:p w:rsidR="00DD3A7F" w:rsidRPr="009C62BD" w:rsidRDefault="00DD3A7F" w:rsidP="00745762">
      <w:pPr>
        <w:pStyle w:val="Odstavecseseznamem"/>
        <w:numPr>
          <w:ilvl w:val="0"/>
          <w:numId w:val="1"/>
        </w:numPr>
        <w:ind w:left="426" w:hanging="426"/>
        <w:jc w:val="left"/>
        <w:rPr>
          <w:b/>
          <w:u w:val="single"/>
        </w:rPr>
      </w:pPr>
      <w:r w:rsidRPr="009C62BD">
        <w:rPr>
          <w:b/>
          <w:u w:val="single"/>
        </w:rPr>
        <w:t>Technická zpráva</w:t>
      </w:r>
    </w:p>
    <w:p w:rsidR="00DD3A7F" w:rsidRPr="00745762" w:rsidRDefault="00DD3A7F" w:rsidP="00745762">
      <w:pPr>
        <w:pStyle w:val="Odstavecseseznamem"/>
        <w:ind w:left="426" w:firstLine="0"/>
        <w:jc w:val="left"/>
        <w:rPr>
          <w:sz w:val="10"/>
          <w:szCs w:val="10"/>
        </w:rPr>
      </w:pPr>
    </w:p>
    <w:p w:rsidR="00DD3A7F" w:rsidRPr="009C62BD" w:rsidRDefault="00DD3A7F" w:rsidP="007457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709" w:hanging="283"/>
        <w:jc w:val="left"/>
        <w:rPr>
          <w:rFonts w:cs="ADGPFC+TimesNewRoman"/>
          <w:b/>
          <w:color w:val="000000"/>
        </w:rPr>
      </w:pPr>
      <w:r w:rsidRPr="009C62BD">
        <w:rPr>
          <w:rFonts w:cs="ADGPFC+TimesNewRoman"/>
          <w:b/>
          <w:color w:val="000000"/>
        </w:rPr>
        <w:t>titulní list</w:t>
      </w:r>
    </w:p>
    <w:p w:rsidR="00DD3A7F" w:rsidRPr="00FA12D3" w:rsidRDefault="00DD3A7F" w:rsidP="007457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ozna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 xml:space="preserve">ení investora (zadavatele) </w:t>
      </w:r>
    </w:p>
    <w:p w:rsidR="00DD3A7F" w:rsidRPr="00FA12D3" w:rsidRDefault="00DD3A7F" w:rsidP="007457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ozna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ení dalších ú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astník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  <w:r w:rsidRPr="00FA12D3">
        <w:rPr>
          <w:rFonts w:cs="ADGPFC+TimesNewRoman"/>
          <w:color w:val="000000"/>
          <w:sz w:val="20"/>
          <w:szCs w:val="20"/>
        </w:rPr>
        <w:t xml:space="preserve">výstavby (projektant, dodavatel) </w:t>
      </w:r>
    </w:p>
    <w:p w:rsidR="00DD3A7F" w:rsidRPr="00FA12D3" w:rsidRDefault="00DD3A7F" w:rsidP="007457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název a místo výstavby </w:t>
      </w:r>
    </w:p>
    <w:p w:rsidR="00DD3A7F" w:rsidRPr="00FA12D3" w:rsidRDefault="00DD3A7F" w:rsidP="007457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rozpo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 xml:space="preserve">tové náklady </w:t>
      </w:r>
    </w:p>
    <w:p w:rsidR="00DD3A7F" w:rsidRPr="00FA12D3" w:rsidRDefault="00DD3A7F" w:rsidP="00745762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projektovaná kapacita a termín výstavby, uvedení do provozu </w:t>
      </w:r>
    </w:p>
    <w:p w:rsidR="00DD3A7F" w:rsidRPr="00745762" w:rsidRDefault="00DD3A7F" w:rsidP="00745762">
      <w:pPr>
        <w:pStyle w:val="Odstavecseseznamem"/>
        <w:autoSpaceDE w:val="0"/>
        <w:autoSpaceDN w:val="0"/>
        <w:adjustRightInd w:val="0"/>
        <w:ind w:left="993" w:firstLine="0"/>
        <w:jc w:val="left"/>
        <w:rPr>
          <w:rFonts w:cs="ADGPFC+TimesNewRoman"/>
          <w:color w:val="000000"/>
          <w:sz w:val="10"/>
          <w:szCs w:val="10"/>
        </w:rPr>
      </w:pPr>
    </w:p>
    <w:p w:rsidR="00DD3A7F" w:rsidRPr="009C62BD" w:rsidRDefault="00DD3A7F" w:rsidP="007457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709" w:hanging="283"/>
        <w:jc w:val="left"/>
        <w:rPr>
          <w:rFonts w:cs="ADGPFC+TimesNewRoman"/>
          <w:b/>
          <w:color w:val="000000"/>
        </w:rPr>
      </w:pPr>
      <w:r w:rsidRPr="009C62BD">
        <w:rPr>
          <w:rFonts w:cs="ADGPFC+TimesNewRoman"/>
          <w:b/>
          <w:color w:val="000000"/>
        </w:rPr>
        <w:t xml:space="preserve">všeobecná </w:t>
      </w:r>
      <w:r w:rsidRPr="009C62BD">
        <w:rPr>
          <w:rFonts w:cs="Times New Roman"/>
          <w:b/>
          <w:color w:val="000000"/>
        </w:rPr>
        <w:t>č</w:t>
      </w:r>
      <w:r w:rsidRPr="009C62BD">
        <w:rPr>
          <w:rFonts w:cs="ADGPFC+TimesNewRoman"/>
          <w:b/>
          <w:color w:val="000000"/>
        </w:rPr>
        <w:t xml:space="preserve">ást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výchozí podklady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charakteristika staveništ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výsledky geologického a hydrologického pr</w:t>
      </w:r>
      <w:r w:rsidRPr="00FA12D3">
        <w:rPr>
          <w:rFonts w:cs="Times New Roman"/>
          <w:color w:val="000000"/>
          <w:sz w:val="20"/>
          <w:szCs w:val="20"/>
        </w:rPr>
        <w:t>ů</w:t>
      </w:r>
      <w:r w:rsidRPr="00FA12D3">
        <w:rPr>
          <w:rFonts w:cs="ADGPFC+TimesNewRoman"/>
          <w:color w:val="000000"/>
          <w:sz w:val="20"/>
          <w:szCs w:val="20"/>
        </w:rPr>
        <w:t>zkumu staveništ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ehled finan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ních náklad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dodavatelský systém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popis stavby a její 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len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 xml:space="preserve">ní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popis objekt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  <w:r w:rsidRPr="00FA12D3">
        <w:rPr>
          <w:rFonts w:cs="ADGPFC+TimesNewRoman"/>
          <w:color w:val="000000"/>
          <w:sz w:val="20"/>
          <w:szCs w:val="20"/>
        </w:rPr>
        <w:t>z hlediska konstruk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 xml:space="preserve">ního, materiálového a technologického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popis organizace výstavby jako celku </w:t>
      </w:r>
    </w:p>
    <w:p w:rsidR="00DD3A7F" w:rsidRPr="00FA12D3" w:rsidRDefault="00DD3A7F" w:rsidP="0074576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popis organizace výstavby pro každý objekt </w:t>
      </w:r>
    </w:p>
    <w:p w:rsidR="00DD3A7F" w:rsidRDefault="00DD3A7F" w:rsidP="009C62BD">
      <w:pPr>
        <w:pStyle w:val="Odstavecseseznamem"/>
        <w:numPr>
          <w:ilvl w:val="1"/>
          <w:numId w:val="7"/>
        </w:numPr>
        <w:ind w:left="993" w:hanging="284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podmínky připravenosti stavby</w:t>
      </w:r>
    </w:p>
    <w:p w:rsidR="00DD3A7F" w:rsidRDefault="00DD3A7F" w:rsidP="00EF0629">
      <w:pPr>
        <w:pStyle w:val="Odstavecseseznamem"/>
        <w:numPr>
          <w:ilvl w:val="1"/>
          <w:numId w:val="7"/>
        </w:numPr>
        <w:ind w:left="993" w:hanging="284"/>
        <w:rPr>
          <w:rFonts w:cs="ADGPFC+TimesNewRoman"/>
          <w:color w:val="000000"/>
          <w:sz w:val="20"/>
          <w:szCs w:val="20"/>
        </w:rPr>
      </w:pPr>
      <w:r>
        <w:rPr>
          <w:rFonts w:cs="ADGPFC+TimesNewRoman"/>
          <w:color w:val="000000"/>
          <w:sz w:val="20"/>
          <w:szCs w:val="20"/>
        </w:rPr>
        <w:t>popis pasportizace nemovitostí</w:t>
      </w:r>
    </w:p>
    <w:p w:rsidR="00DD3A7F" w:rsidRDefault="00DD3A7F" w:rsidP="00EF0629">
      <w:pPr>
        <w:pStyle w:val="Odstavecseseznamem"/>
        <w:numPr>
          <w:ilvl w:val="1"/>
          <w:numId w:val="7"/>
        </w:numPr>
        <w:ind w:left="993" w:hanging="284"/>
        <w:rPr>
          <w:rFonts w:cs="ADGPFC+TimesNewRoman"/>
          <w:color w:val="000000"/>
          <w:sz w:val="20"/>
          <w:szCs w:val="20"/>
        </w:rPr>
      </w:pPr>
      <w:r>
        <w:rPr>
          <w:rFonts w:cs="ADGPFC+TimesNewRoman"/>
          <w:color w:val="000000"/>
          <w:sz w:val="20"/>
          <w:szCs w:val="20"/>
        </w:rPr>
        <w:t>popis dopravních opatření a objízdných tras</w:t>
      </w:r>
    </w:p>
    <w:p w:rsidR="00DD3A7F" w:rsidRDefault="00DD3A7F" w:rsidP="00EF0629">
      <w:pPr>
        <w:pStyle w:val="Odstavecseseznamem"/>
        <w:ind w:left="993" w:firstLine="0"/>
        <w:rPr>
          <w:rFonts w:cs="ADGPFC+TimesNewRoman"/>
          <w:color w:val="000000"/>
          <w:sz w:val="20"/>
          <w:szCs w:val="20"/>
        </w:rPr>
      </w:pPr>
    </w:p>
    <w:p w:rsidR="00DD3A7F" w:rsidRPr="00FA12D3" w:rsidRDefault="00DD3A7F" w:rsidP="00EF0629">
      <w:pPr>
        <w:pStyle w:val="Odstavecseseznamem"/>
        <w:ind w:left="993" w:firstLine="0"/>
        <w:rPr>
          <w:rFonts w:cs="ADGPFC+TimesNewRoman"/>
          <w:color w:val="000000"/>
          <w:sz w:val="20"/>
          <w:szCs w:val="20"/>
        </w:rPr>
      </w:pPr>
      <w:bookmarkStart w:id="0" w:name="_GoBack"/>
      <w:bookmarkEnd w:id="0"/>
    </w:p>
    <w:p w:rsidR="00DD3A7F" w:rsidRPr="009C62BD" w:rsidRDefault="00DD3A7F" w:rsidP="00745762">
      <w:pPr>
        <w:pStyle w:val="Odstavecseseznamem"/>
        <w:autoSpaceDE w:val="0"/>
        <w:autoSpaceDN w:val="0"/>
        <w:adjustRightInd w:val="0"/>
        <w:ind w:left="709" w:firstLine="0"/>
        <w:jc w:val="left"/>
        <w:rPr>
          <w:rFonts w:cs="ADGPFC+TimesNewRoman"/>
          <w:color w:val="000000"/>
          <w:sz w:val="10"/>
          <w:szCs w:val="10"/>
        </w:rPr>
      </w:pPr>
    </w:p>
    <w:p w:rsidR="00DD3A7F" w:rsidRPr="009C62BD" w:rsidRDefault="00DD3A7F" w:rsidP="007457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709" w:hanging="283"/>
        <w:jc w:val="left"/>
        <w:rPr>
          <w:rFonts w:cs="ADGPFC+TimesNewRoman"/>
          <w:b/>
          <w:color w:val="000000"/>
        </w:rPr>
      </w:pPr>
      <w:r w:rsidRPr="009C62BD">
        <w:rPr>
          <w:rFonts w:cs="ADGPFC+TimesNewRoman"/>
          <w:b/>
          <w:color w:val="000000"/>
        </w:rPr>
        <w:t>technická zpráva k</w:t>
      </w:r>
      <w:r>
        <w:rPr>
          <w:rFonts w:cs="ADGPFC+TimesNewRoman"/>
          <w:b/>
          <w:color w:val="000000"/>
        </w:rPr>
        <w:t> </w:t>
      </w:r>
      <w:r>
        <w:rPr>
          <w:rFonts w:cs="Times New Roman"/>
          <w:b/>
          <w:color w:val="000000"/>
        </w:rPr>
        <w:t>realizaci zakázky</w:t>
      </w:r>
      <w:r w:rsidRPr="009C62BD">
        <w:rPr>
          <w:rFonts w:cs="ADGPFC+TimesNewRoman"/>
          <w:b/>
          <w:color w:val="000000"/>
        </w:rPr>
        <w:t xml:space="preserve"> </w:t>
      </w:r>
    </w:p>
    <w:p w:rsidR="00DD3A7F" w:rsidRPr="00FA12D3" w:rsidRDefault="00DD3A7F" w:rsidP="009C62B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podmínky a zd</w:t>
      </w:r>
      <w:r w:rsidRPr="00FA12D3">
        <w:rPr>
          <w:rFonts w:cs="Times New Roman"/>
          <w:color w:val="000000"/>
          <w:sz w:val="20"/>
          <w:szCs w:val="20"/>
        </w:rPr>
        <w:t>ů</w:t>
      </w:r>
      <w:r w:rsidRPr="00FA12D3">
        <w:rPr>
          <w:rFonts w:cs="ADGPFC+TimesNewRoman"/>
          <w:color w:val="000000"/>
          <w:sz w:val="20"/>
          <w:szCs w:val="20"/>
        </w:rPr>
        <w:t>vodn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>ní vzájemné návaznosti výstavby objekt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</w:p>
    <w:p w:rsidR="00DD3A7F" w:rsidRPr="00FA12D3" w:rsidRDefault="00DD3A7F" w:rsidP="009C62B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termíny pro stavební 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ipravenost objekt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</w:p>
    <w:p w:rsidR="00DD3A7F" w:rsidRPr="00FA12D3" w:rsidRDefault="00DD3A7F" w:rsidP="009C62B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rozd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>lení náklad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  <w:r w:rsidRPr="00FA12D3">
        <w:rPr>
          <w:rFonts w:cs="ADGPFC+TimesNewRoman"/>
          <w:color w:val="000000"/>
          <w:sz w:val="20"/>
          <w:szCs w:val="20"/>
        </w:rPr>
        <w:t xml:space="preserve">do jednotlivých fází výstavby </w:t>
      </w:r>
    </w:p>
    <w:p w:rsidR="00DD3A7F" w:rsidRPr="00FA12D3" w:rsidRDefault="00DD3A7F" w:rsidP="009C62B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výpis o hlavních objemech prací </w:t>
      </w:r>
    </w:p>
    <w:p w:rsidR="00DD3A7F" w:rsidRPr="00FA12D3" w:rsidRDefault="00DD3A7F" w:rsidP="009C62B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výpis materiálu a dodávek </w:t>
      </w:r>
    </w:p>
    <w:p w:rsidR="00DD3A7F" w:rsidRPr="009C62BD" w:rsidRDefault="00DD3A7F" w:rsidP="00745762">
      <w:pPr>
        <w:pStyle w:val="Odstavecseseznamem"/>
        <w:autoSpaceDE w:val="0"/>
        <w:autoSpaceDN w:val="0"/>
        <w:adjustRightInd w:val="0"/>
        <w:ind w:left="709" w:firstLine="0"/>
        <w:jc w:val="left"/>
        <w:rPr>
          <w:rFonts w:cs="ADGPFC+TimesNewRoman"/>
          <w:color w:val="000000"/>
          <w:sz w:val="10"/>
          <w:szCs w:val="10"/>
        </w:rPr>
      </w:pPr>
    </w:p>
    <w:p w:rsidR="00DD3A7F" w:rsidRPr="009C62BD" w:rsidRDefault="00DD3A7F" w:rsidP="0074576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ind w:left="709" w:hanging="283"/>
        <w:jc w:val="left"/>
        <w:rPr>
          <w:rFonts w:cs="Times New Roman"/>
          <w:b/>
          <w:color w:val="000000"/>
        </w:rPr>
      </w:pPr>
      <w:r w:rsidRPr="009C62BD">
        <w:rPr>
          <w:rFonts w:cs="ADGPFC+TimesNewRoman"/>
          <w:b/>
          <w:color w:val="000000"/>
        </w:rPr>
        <w:t>technická zpráva ke koncepci za</w:t>
      </w:r>
      <w:r w:rsidRPr="009C62BD">
        <w:rPr>
          <w:rFonts w:cs="Times New Roman"/>
          <w:b/>
          <w:color w:val="000000"/>
        </w:rPr>
        <w:t>ř</w:t>
      </w:r>
      <w:r w:rsidRPr="009C62BD">
        <w:rPr>
          <w:rFonts w:cs="ADGPFC+TimesNewRoman"/>
          <w:b/>
          <w:color w:val="000000"/>
        </w:rPr>
        <w:t>ízení staveništ</w:t>
      </w:r>
      <w:r w:rsidRPr="009C62BD">
        <w:rPr>
          <w:rFonts w:cs="Times New Roman"/>
          <w:b/>
          <w:color w:val="000000"/>
        </w:rPr>
        <w:t xml:space="preserve">ě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vymezení obvodu staveništ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majetkoprávní vztahy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eventuální úpravy staveništ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>, 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 xml:space="preserve">eložky sítí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íjezdové cesty na staveništ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ístupová cesta na staveništ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  <w:r w:rsidRPr="00FA12D3">
        <w:rPr>
          <w:rFonts w:cs="ADGPFC+TimesNewRoman"/>
          <w:color w:val="000000"/>
          <w:sz w:val="20"/>
          <w:szCs w:val="20"/>
        </w:rPr>
        <w:t>a doprava pracovník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možnost a místo 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ipojení na stávající zdroj vody, elektrickou síť, kanalizaci, plyn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ur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ení chyb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>jící zeminy a její dovoz, 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ípadn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  <w:r w:rsidRPr="00FA12D3">
        <w:rPr>
          <w:rFonts w:cs="ADGPFC+TimesNewRoman"/>
          <w:color w:val="000000"/>
          <w:sz w:val="20"/>
          <w:szCs w:val="20"/>
        </w:rPr>
        <w:t>ur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ení skl</w:t>
      </w:r>
      <w:r>
        <w:rPr>
          <w:rFonts w:cs="ADGPFC+TimesNewRoman"/>
          <w:color w:val="000000"/>
          <w:sz w:val="20"/>
          <w:szCs w:val="20"/>
        </w:rPr>
        <w:t>á</w:t>
      </w:r>
      <w:r w:rsidRPr="00FA12D3">
        <w:rPr>
          <w:rFonts w:cs="ADGPFC+TimesNewRoman"/>
          <w:color w:val="000000"/>
          <w:sz w:val="20"/>
          <w:szCs w:val="20"/>
        </w:rPr>
        <w:t>dek pro 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ebyte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 xml:space="preserve">nou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 xml:space="preserve">ochranná pásma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ur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ení trvalých objekt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  <w:r w:rsidRPr="00FA12D3">
        <w:rPr>
          <w:rFonts w:cs="ADGPFC+TimesNewRoman"/>
          <w:color w:val="000000"/>
          <w:sz w:val="20"/>
          <w:szCs w:val="20"/>
        </w:rPr>
        <w:t>stavby, které lze vybudovat v 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 xml:space="preserve">edstihu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Times New 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ur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ení do</w:t>
      </w:r>
      <w:r w:rsidRPr="00FA12D3">
        <w:rPr>
          <w:rFonts w:cs="Times New Roman"/>
          <w:color w:val="000000"/>
          <w:sz w:val="20"/>
          <w:szCs w:val="20"/>
        </w:rPr>
        <w:t>ča</w:t>
      </w:r>
      <w:r w:rsidRPr="00FA12D3">
        <w:rPr>
          <w:rFonts w:cs="ADGPFC+TimesNewRoman"/>
          <w:color w:val="000000"/>
          <w:sz w:val="20"/>
          <w:szCs w:val="20"/>
        </w:rPr>
        <w:t>sných objekt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ehled stroj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  <w:r w:rsidRPr="00FA12D3">
        <w:rPr>
          <w:rFonts w:cs="ADGPFC+TimesNewRoman"/>
          <w:color w:val="000000"/>
          <w:sz w:val="20"/>
          <w:szCs w:val="20"/>
        </w:rPr>
        <w:t>nasazených b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 xml:space="preserve">hem výstavby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výpo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et pot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>eby vody a energií pro provád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 xml:space="preserve">ní výstavby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popis uskladn</w:t>
      </w:r>
      <w:r w:rsidRPr="00FA12D3">
        <w:rPr>
          <w:rFonts w:cs="Times New Roman"/>
          <w:color w:val="000000"/>
          <w:sz w:val="20"/>
          <w:szCs w:val="20"/>
        </w:rPr>
        <w:t>ě</w:t>
      </w:r>
      <w:r w:rsidRPr="00FA12D3">
        <w:rPr>
          <w:rFonts w:cs="ADGPFC+TimesNewRoman"/>
          <w:color w:val="000000"/>
          <w:sz w:val="20"/>
          <w:szCs w:val="20"/>
        </w:rPr>
        <w:t>ní stroj</w:t>
      </w:r>
      <w:r w:rsidRPr="00FA12D3">
        <w:rPr>
          <w:rFonts w:cs="Times New Roman"/>
          <w:color w:val="000000"/>
          <w:sz w:val="20"/>
          <w:szCs w:val="20"/>
        </w:rPr>
        <w:t xml:space="preserve">ů </w:t>
      </w:r>
      <w:r w:rsidRPr="00FA12D3">
        <w:rPr>
          <w:rFonts w:cs="ADGPFC+TimesNewRoman"/>
          <w:color w:val="000000"/>
          <w:sz w:val="20"/>
          <w:szCs w:val="20"/>
        </w:rPr>
        <w:t>a za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 xml:space="preserve">ízení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protipožární a bezpe</w:t>
      </w:r>
      <w:r w:rsidRPr="00FA12D3">
        <w:rPr>
          <w:rFonts w:cs="Times New Roman"/>
          <w:color w:val="000000"/>
          <w:sz w:val="20"/>
          <w:szCs w:val="20"/>
        </w:rPr>
        <w:t>č</w:t>
      </w:r>
      <w:r w:rsidRPr="00FA12D3">
        <w:rPr>
          <w:rFonts w:cs="ADGPFC+TimesNewRoman"/>
          <w:color w:val="000000"/>
          <w:sz w:val="20"/>
          <w:szCs w:val="20"/>
        </w:rPr>
        <w:t>nostní opat</w:t>
      </w:r>
      <w:r w:rsidRPr="00FA12D3">
        <w:rPr>
          <w:rFonts w:cs="Times New Roman"/>
          <w:color w:val="000000"/>
          <w:sz w:val="20"/>
          <w:szCs w:val="20"/>
        </w:rPr>
        <w:t>ř</w:t>
      </w:r>
      <w:r w:rsidRPr="00FA12D3">
        <w:rPr>
          <w:rFonts w:cs="ADGPFC+TimesNewRoman"/>
          <w:color w:val="000000"/>
          <w:sz w:val="20"/>
          <w:szCs w:val="20"/>
        </w:rPr>
        <w:t xml:space="preserve">ení </w:t>
      </w:r>
    </w:p>
    <w:p w:rsidR="00DD3A7F" w:rsidRPr="00FA12D3" w:rsidRDefault="00DD3A7F" w:rsidP="009C62B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ind w:left="993" w:hanging="284"/>
        <w:jc w:val="left"/>
        <w:rPr>
          <w:rFonts w:cs="ADGPFC+TimesNewRoman"/>
          <w:color w:val="000000"/>
          <w:sz w:val="20"/>
          <w:szCs w:val="20"/>
        </w:rPr>
      </w:pPr>
      <w:r w:rsidRPr="00FA12D3">
        <w:rPr>
          <w:rFonts w:cs="ADGPFC+TimesNewRoman"/>
          <w:color w:val="000000"/>
          <w:sz w:val="20"/>
          <w:szCs w:val="20"/>
        </w:rPr>
        <w:t>likvidace staveništ</w:t>
      </w:r>
      <w:r w:rsidRPr="00FA12D3">
        <w:rPr>
          <w:rFonts w:cs="Times New Roman"/>
          <w:color w:val="000000"/>
          <w:sz w:val="20"/>
          <w:szCs w:val="20"/>
        </w:rPr>
        <w:t xml:space="preserve">ě </w:t>
      </w:r>
      <w:r w:rsidRPr="00FA12D3">
        <w:rPr>
          <w:rFonts w:cs="ADGPFC+TimesNewRoman"/>
          <w:color w:val="000000"/>
          <w:sz w:val="20"/>
          <w:szCs w:val="20"/>
        </w:rPr>
        <w:t xml:space="preserve">a rekultivace ploch </w:t>
      </w:r>
    </w:p>
    <w:p w:rsidR="00DD3A7F" w:rsidRPr="009C62BD" w:rsidRDefault="00DD3A7F" w:rsidP="00745762">
      <w:pPr>
        <w:pStyle w:val="Odstavecseseznamem"/>
        <w:autoSpaceDE w:val="0"/>
        <w:autoSpaceDN w:val="0"/>
        <w:adjustRightInd w:val="0"/>
        <w:ind w:left="709" w:firstLine="0"/>
        <w:jc w:val="left"/>
        <w:rPr>
          <w:rFonts w:cs="Times New Roman"/>
          <w:color w:val="000000"/>
          <w:sz w:val="10"/>
          <w:szCs w:val="10"/>
        </w:rPr>
      </w:pPr>
    </w:p>
    <w:p w:rsidR="00DD3A7F" w:rsidRPr="009C62BD" w:rsidRDefault="00DD3A7F" w:rsidP="00745762">
      <w:pPr>
        <w:pStyle w:val="Odstavecseseznamem"/>
        <w:numPr>
          <w:ilvl w:val="0"/>
          <w:numId w:val="1"/>
        </w:numPr>
        <w:ind w:left="426" w:hanging="426"/>
        <w:jc w:val="left"/>
        <w:rPr>
          <w:b/>
          <w:u w:val="single"/>
        </w:rPr>
      </w:pPr>
      <w:r w:rsidRPr="009C62BD">
        <w:rPr>
          <w:b/>
          <w:u w:val="single"/>
        </w:rPr>
        <w:t>Časový plán výstavby</w:t>
      </w:r>
    </w:p>
    <w:p w:rsidR="00DD3A7F" w:rsidRPr="00461E73" w:rsidRDefault="00DD3A7F" w:rsidP="00D76CCC">
      <w:pPr>
        <w:jc w:val="left"/>
        <w:rPr>
          <w:sz w:val="10"/>
          <w:szCs w:val="10"/>
        </w:rPr>
      </w:pPr>
    </w:p>
    <w:p w:rsidR="00DD3A7F" w:rsidRPr="00FA12D3" w:rsidRDefault="00DD3A7F" w:rsidP="00FA1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 w:hanging="283"/>
        <w:jc w:val="left"/>
        <w:rPr>
          <w:rFonts w:cs="Times New Roman"/>
          <w:b/>
          <w:color w:val="000000"/>
        </w:rPr>
      </w:pPr>
      <w:r>
        <w:rPr>
          <w:rFonts w:cs="ADGPFC+TimesNewRoman"/>
          <w:b/>
          <w:color w:val="000000"/>
        </w:rPr>
        <w:t>obsah časového plánu výstavby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lhůta výstavby, termín zahájení a dokončení stavby, termíny dokončení jednotlivých etap nebo rozhodujících objektů a zařízení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přehled rozhodujících termínů a lhůt projektové, investorské přípravy a realizace stavby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uvedení způsobu stanovení lhůt realizace stavebních objektů, provozních souborů, popř. jejich částí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 xml:space="preserve">komentář k časovému </w:t>
      </w:r>
      <w:r>
        <w:rPr>
          <w:sz w:val="20"/>
          <w:szCs w:val="20"/>
        </w:rPr>
        <w:t>průběhu realizace zakázky</w:t>
      </w:r>
      <w:r w:rsidRPr="00FA12D3">
        <w:rPr>
          <w:sz w:val="20"/>
          <w:szCs w:val="20"/>
        </w:rPr>
        <w:t xml:space="preserve"> </w:t>
      </w:r>
    </w:p>
    <w:p w:rsidR="00DD3A7F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postup výstavby rozhodujících stavebních objektů a provozních souborů</w:t>
      </w:r>
    </w:p>
    <w:p w:rsidR="00DD3A7F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plán zkoušek (hutnící, tlakové, rozbory vody, zkoušky vodiče, atd.)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postup provádění dezinfekce a proplachů vodovodních řadů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podmínky uvedení stavby do zkušebního provozu, požadavky na komplexní vyzkoušení a kolaudaci stavby</w:t>
      </w:r>
    </w:p>
    <w:p w:rsidR="00DD3A7F" w:rsidRPr="00FA12D3" w:rsidRDefault="00DD3A7F" w:rsidP="00FA12D3">
      <w:pPr>
        <w:pStyle w:val="Odstavecseseznamem"/>
        <w:numPr>
          <w:ilvl w:val="0"/>
          <w:numId w:val="13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 xml:space="preserve">určení stavebních objektů a zařízení, popř. jejich částí, které je nutno předběžně uvést do provozu nebo užívání </w:t>
      </w:r>
    </w:p>
    <w:p w:rsidR="00DD3A7F" w:rsidRDefault="00DD3A7F" w:rsidP="00231648">
      <w:pPr>
        <w:pStyle w:val="Odstavecseseznamem"/>
        <w:numPr>
          <w:ilvl w:val="0"/>
          <w:numId w:val="13"/>
        </w:numPr>
        <w:spacing w:after="240"/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časový postup likvidace zařízení staveniště (stanovení termínů, stanovení podmínek pro likvidaci zařízení staveniště, způsob úpravy ploch po likvidaci zařízení staveniště</w:t>
      </w:r>
    </w:p>
    <w:p w:rsidR="00231648" w:rsidRPr="00FA12D3" w:rsidRDefault="00231648" w:rsidP="00231648">
      <w:pPr>
        <w:pStyle w:val="Odstavecseseznamem"/>
        <w:spacing w:after="240"/>
        <w:ind w:left="993" w:firstLine="0"/>
        <w:rPr>
          <w:sz w:val="20"/>
          <w:szCs w:val="20"/>
        </w:rPr>
      </w:pPr>
    </w:p>
    <w:p w:rsidR="00DD3A7F" w:rsidRPr="00FA12D3" w:rsidRDefault="00DD3A7F" w:rsidP="00FA12D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709" w:hanging="283"/>
        <w:jc w:val="lef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forma časového plánu výstavby</w:t>
      </w:r>
    </w:p>
    <w:p w:rsidR="00DD3A7F" w:rsidRPr="00FA12D3" w:rsidRDefault="00DD3A7F" w:rsidP="00FA12D3">
      <w:pPr>
        <w:pStyle w:val="Odstavecseseznamem"/>
        <w:numPr>
          <w:ilvl w:val="1"/>
          <w:numId w:val="12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harmonogram (řádkový)</w:t>
      </w:r>
    </w:p>
    <w:p w:rsidR="00DD3A7F" w:rsidRPr="00FA12D3" w:rsidRDefault="00DD3A7F" w:rsidP="00FA12D3">
      <w:pPr>
        <w:pStyle w:val="Odstavecseseznamem"/>
        <w:numPr>
          <w:ilvl w:val="1"/>
          <w:numId w:val="12"/>
        </w:numPr>
        <w:ind w:left="993" w:hanging="284"/>
        <w:rPr>
          <w:sz w:val="20"/>
          <w:szCs w:val="20"/>
        </w:rPr>
      </w:pPr>
      <w:r w:rsidRPr="00FA12D3">
        <w:rPr>
          <w:sz w:val="20"/>
          <w:szCs w:val="20"/>
        </w:rPr>
        <w:t>výstup sítové analýzy, tzn. síťový graf</w:t>
      </w:r>
    </w:p>
    <w:p w:rsidR="00DD3A7F" w:rsidRDefault="00DD3A7F" w:rsidP="00FA12D3">
      <w:pPr>
        <w:pStyle w:val="Odstavecseseznamem"/>
        <w:ind w:left="993" w:firstLine="0"/>
      </w:pPr>
    </w:p>
    <w:sectPr w:rsidR="00DD3A7F" w:rsidSect="009C62BD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7F" w:rsidRDefault="00DD3A7F" w:rsidP="00D76CCC">
      <w:r>
        <w:separator/>
      </w:r>
    </w:p>
  </w:endnote>
  <w:endnote w:type="continuationSeparator" w:id="1">
    <w:p w:rsidR="00DD3A7F" w:rsidRDefault="00DD3A7F" w:rsidP="00D7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GPF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48" w:rsidRDefault="00231648">
    <w:pPr>
      <w:pStyle w:val="Zpat"/>
    </w:pPr>
    <w:r w:rsidRPr="00231648"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-486410</wp:posOffset>
          </wp:positionV>
          <wp:extent cx="1885950" cy="1066800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7F" w:rsidRDefault="00DD3A7F" w:rsidP="00D76CCC">
      <w:r>
        <w:separator/>
      </w:r>
    </w:p>
  </w:footnote>
  <w:footnote w:type="continuationSeparator" w:id="1">
    <w:p w:rsidR="00DD3A7F" w:rsidRDefault="00DD3A7F" w:rsidP="00D7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48" w:rsidRPr="00215975" w:rsidRDefault="00231648" w:rsidP="00231648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231648" w:rsidRPr="00215975" w:rsidRDefault="00231648" w:rsidP="00231648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Pr="00215975">
      <w:t xml:space="preserve">“ </w:t>
    </w:r>
  </w:p>
  <w:p w:rsidR="00231648" w:rsidRPr="005E617A" w:rsidRDefault="00231648" w:rsidP="00231648">
    <w:pPr>
      <w:pStyle w:val="Zhlav"/>
      <w:pBdr>
        <w:bottom w:val="single" w:sz="8" w:space="1" w:color="000000"/>
      </w:pBdr>
      <w:tabs>
        <w:tab w:val="left" w:pos="7300"/>
      </w:tabs>
      <w:rPr>
        <w:b/>
        <w:sz w:val="12"/>
        <w:szCs w:val="12"/>
      </w:rPr>
    </w:pPr>
  </w:p>
  <w:p w:rsidR="00231648" w:rsidRDefault="00231648" w:rsidP="00231648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DD3A7F" w:rsidRDefault="00DD3A7F" w:rsidP="00D76CCC">
    <w:pPr>
      <w:pStyle w:val="Zhlav"/>
      <w:pBdr>
        <w:bottom w:val="single" w:sz="8" w:space="1" w:color="000000"/>
      </w:pBdr>
      <w:tabs>
        <w:tab w:val="left" w:pos="7300"/>
      </w:tabs>
      <w:rPr>
        <w:sz w:val="6"/>
        <w:szCs w:val="6"/>
      </w:rPr>
    </w:pPr>
    <w:r>
      <w:rPr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B2F"/>
    <w:multiLevelType w:val="hybridMultilevel"/>
    <w:tmpl w:val="C1FC76E2"/>
    <w:lvl w:ilvl="0" w:tplc="658AB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39088C"/>
    <w:multiLevelType w:val="hybridMultilevel"/>
    <w:tmpl w:val="1D9EAB9C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8AB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2E0E"/>
    <w:multiLevelType w:val="hybridMultilevel"/>
    <w:tmpl w:val="02F27864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19120E9"/>
    <w:multiLevelType w:val="hybridMultilevel"/>
    <w:tmpl w:val="A14C700A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7FAB"/>
    <w:multiLevelType w:val="hybridMultilevel"/>
    <w:tmpl w:val="E48EBCBA"/>
    <w:lvl w:ilvl="0" w:tplc="040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20785F1E"/>
    <w:multiLevelType w:val="hybridMultilevel"/>
    <w:tmpl w:val="9462DCB4"/>
    <w:lvl w:ilvl="0" w:tplc="658AB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69A1E5E"/>
    <w:multiLevelType w:val="hybridMultilevel"/>
    <w:tmpl w:val="47804C00"/>
    <w:lvl w:ilvl="0" w:tplc="658AB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845A2E"/>
    <w:multiLevelType w:val="hybridMultilevel"/>
    <w:tmpl w:val="A69060D0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8AB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73A5"/>
    <w:multiLevelType w:val="hybridMultilevel"/>
    <w:tmpl w:val="9C54AC30"/>
    <w:lvl w:ilvl="0" w:tplc="040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327596"/>
    <w:multiLevelType w:val="hybridMultilevel"/>
    <w:tmpl w:val="32461FF4"/>
    <w:lvl w:ilvl="0" w:tplc="ECC49C1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542C14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476422"/>
    <w:multiLevelType w:val="hybridMultilevel"/>
    <w:tmpl w:val="69AEC944"/>
    <w:lvl w:ilvl="0" w:tplc="658AB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58ABB8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5965DB"/>
    <w:multiLevelType w:val="hybridMultilevel"/>
    <w:tmpl w:val="B30AF928"/>
    <w:lvl w:ilvl="0" w:tplc="658ABB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8523859"/>
    <w:multiLevelType w:val="hybridMultilevel"/>
    <w:tmpl w:val="ED6A925E"/>
    <w:lvl w:ilvl="0" w:tplc="658ABB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58ABB8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B8629B8"/>
    <w:multiLevelType w:val="hybridMultilevel"/>
    <w:tmpl w:val="737AA034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D76CCC"/>
    <w:rsid w:val="0000291E"/>
    <w:rsid w:val="00021DB2"/>
    <w:rsid w:val="00030609"/>
    <w:rsid w:val="00032856"/>
    <w:rsid w:val="00053A15"/>
    <w:rsid w:val="00054E5A"/>
    <w:rsid w:val="0007061B"/>
    <w:rsid w:val="000C4EFB"/>
    <w:rsid w:val="000E6856"/>
    <w:rsid w:val="001115FD"/>
    <w:rsid w:val="00112163"/>
    <w:rsid w:val="001374EA"/>
    <w:rsid w:val="001648FD"/>
    <w:rsid w:val="00171065"/>
    <w:rsid w:val="00183824"/>
    <w:rsid w:val="00187738"/>
    <w:rsid w:val="001B53D7"/>
    <w:rsid w:val="001C19F1"/>
    <w:rsid w:val="001E4585"/>
    <w:rsid w:val="00210E79"/>
    <w:rsid w:val="00224386"/>
    <w:rsid w:val="00231648"/>
    <w:rsid w:val="002437CB"/>
    <w:rsid w:val="002466DF"/>
    <w:rsid w:val="002505C1"/>
    <w:rsid w:val="00250C10"/>
    <w:rsid w:val="002527A3"/>
    <w:rsid w:val="00261567"/>
    <w:rsid w:val="00262D8E"/>
    <w:rsid w:val="00280849"/>
    <w:rsid w:val="00291511"/>
    <w:rsid w:val="002B0E3A"/>
    <w:rsid w:val="002B12D7"/>
    <w:rsid w:val="002B60F8"/>
    <w:rsid w:val="002D6E11"/>
    <w:rsid w:val="002D7069"/>
    <w:rsid w:val="002E2FB8"/>
    <w:rsid w:val="002F36C8"/>
    <w:rsid w:val="0030311F"/>
    <w:rsid w:val="00310F2D"/>
    <w:rsid w:val="00311124"/>
    <w:rsid w:val="003171FA"/>
    <w:rsid w:val="003351D5"/>
    <w:rsid w:val="003455C7"/>
    <w:rsid w:val="00347B8A"/>
    <w:rsid w:val="0036071A"/>
    <w:rsid w:val="003661F6"/>
    <w:rsid w:val="00380F48"/>
    <w:rsid w:val="0039446F"/>
    <w:rsid w:val="003B2433"/>
    <w:rsid w:val="003D03AC"/>
    <w:rsid w:val="003F14C6"/>
    <w:rsid w:val="00413555"/>
    <w:rsid w:val="00455B98"/>
    <w:rsid w:val="00461E73"/>
    <w:rsid w:val="00464049"/>
    <w:rsid w:val="00470594"/>
    <w:rsid w:val="00496F7E"/>
    <w:rsid w:val="004B464A"/>
    <w:rsid w:val="004F3FC3"/>
    <w:rsid w:val="005176E1"/>
    <w:rsid w:val="00533F70"/>
    <w:rsid w:val="005970BF"/>
    <w:rsid w:val="005B07F3"/>
    <w:rsid w:val="005B402D"/>
    <w:rsid w:val="005E3446"/>
    <w:rsid w:val="006006C3"/>
    <w:rsid w:val="00601A59"/>
    <w:rsid w:val="00612AA6"/>
    <w:rsid w:val="00620D0E"/>
    <w:rsid w:val="00654D32"/>
    <w:rsid w:val="0067054D"/>
    <w:rsid w:val="006934E4"/>
    <w:rsid w:val="006A1A47"/>
    <w:rsid w:val="006B1979"/>
    <w:rsid w:val="006B4DCA"/>
    <w:rsid w:val="006F7D9A"/>
    <w:rsid w:val="00703AEB"/>
    <w:rsid w:val="00731210"/>
    <w:rsid w:val="00745762"/>
    <w:rsid w:val="00751AC8"/>
    <w:rsid w:val="00751D01"/>
    <w:rsid w:val="00777716"/>
    <w:rsid w:val="007935E8"/>
    <w:rsid w:val="007D45EB"/>
    <w:rsid w:val="007E5C3D"/>
    <w:rsid w:val="007F2978"/>
    <w:rsid w:val="008005E7"/>
    <w:rsid w:val="00803B75"/>
    <w:rsid w:val="0080560B"/>
    <w:rsid w:val="00810879"/>
    <w:rsid w:val="00813D46"/>
    <w:rsid w:val="00817625"/>
    <w:rsid w:val="008267EE"/>
    <w:rsid w:val="00826C1F"/>
    <w:rsid w:val="00831A71"/>
    <w:rsid w:val="00861BA3"/>
    <w:rsid w:val="00884466"/>
    <w:rsid w:val="008A400F"/>
    <w:rsid w:val="008A5D39"/>
    <w:rsid w:val="008C5E1E"/>
    <w:rsid w:val="008C6A05"/>
    <w:rsid w:val="00907E09"/>
    <w:rsid w:val="00915CB2"/>
    <w:rsid w:val="00927017"/>
    <w:rsid w:val="009432B2"/>
    <w:rsid w:val="00952128"/>
    <w:rsid w:val="00974A14"/>
    <w:rsid w:val="00975EA1"/>
    <w:rsid w:val="009A4A2F"/>
    <w:rsid w:val="009B37AE"/>
    <w:rsid w:val="009B5B00"/>
    <w:rsid w:val="009C62BD"/>
    <w:rsid w:val="009D1B18"/>
    <w:rsid w:val="009E600A"/>
    <w:rsid w:val="009F076F"/>
    <w:rsid w:val="009F4A9D"/>
    <w:rsid w:val="009F75E5"/>
    <w:rsid w:val="00A144D7"/>
    <w:rsid w:val="00A167B9"/>
    <w:rsid w:val="00A21635"/>
    <w:rsid w:val="00A301E3"/>
    <w:rsid w:val="00A34DE5"/>
    <w:rsid w:val="00A643A7"/>
    <w:rsid w:val="00A64E5F"/>
    <w:rsid w:val="00A872A1"/>
    <w:rsid w:val="00AA06FD"/>
    <w:rsid w:val="00AB220E"/>
    <w:rsid w:val="00AC3E2B"/>
    <w:rsid w:val="00AE0956"/>
    <w:rsid w:val="00AF7E36"/>
    <w:rsid w:val="00B01644"/>
    <w:rsid w:val="00B17415"/>
    <w:rsid w:val="00B31BC0"/>
    <w:rsid w:val="00B347A9"/>
    <w:rsid w:val="00BA210C"/>
    <w:rsid w:val="00BC0EB8"/>
    <w:rsid w:val="00BC7813"/>
    <w:rsid w:val="00BD5AD1"/>
    <w:rsid w:val="00BD5F4E"/>
    <w:rsid w:val="00C12D2C"/>
    <w:rsid w:val="00C31842"/>
    <w:rsid w:val="00C41E64"/>
    <w:rsid w:val="00C44387"/>
    <w:rsid w:val="00C61037"/>
    <w:rsid w:val="00C67538"/>
    <w:rsid w:val="00C74E9F"/>
    <w:rsid w:val="00C91C95"/>
    <w:rsid w:val="00CA0A46"/>
    <w:rsid w:val="00CC3B05"/>
    <w:rsid w:val="00CC7E26"/>
    <w:rsid w:val="00CE672E"/>
    <w:rsid w:val="00CF172B"/>
    <w:rsid w:val="00D62931"/>
    <w:rsid w:val="00D631D5"/>
    <w:rsid w:val="00D647E3"/>
    <w:rsid w:val="00D76CCC"/>
    <w:rsid w:val="00D807E5"/>
    <w:rsid w:val="00D842FA"/>
    <w:rsid w:val="00D86F19"/>
    <w:rsid w:val="00DB02D3"/>
    <w:rsid w:val="00DC4E75"/>
    <w:rsid w:val="00DD3A7F"/>
    <w:rsid w:val="00E24EBC"/>
    <w:rsid w:val="00E67C0C"/>
    <w:rsid w:val="00E74173"/>
    <w:rsid w:val="00E75E8D"/>
    <w:rsid w:val="00E81BDC"/>
    <w:rsid w:val="00E828DD"/>
    <w:rsid w:val="00E82A2D"/>
    <w:rsid w:val="00E97725"/>
    <w:rsid w:val="00EA589C"/>
    <w:rsid w:val="00EB5645"/>
    <w:rsid w:val="00EC144A"/>
    <w:rsid w:val="00ED76DB"/>
    <w:rsid w:val="00EF0629"/>
    <w:rsid w:val="00F05287"/>
    <w:rsid w:val="00F124FE"/>
    <w:rsid w:val="00F15670"/>
    <w:rsid w:val="00F30E5B"/>
    <w:rsid w:val="00F31DBA"/>
    <w:rsid w:val="00FA0207"/>
    <w:rsid w:val="00FA12D3"/>
    <w:rsid w:val="00F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CCC"/>
    <w:pPr>
      <w:ind w:left="425" w:hanging="425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76CC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76C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76CCC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rsid w:val="00D76C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76CCC"/>
    <w:rPr>
      <w:rFonts w:eastAsia="Times New Roman" w:cs="Times New Roman"/>
    </w:rPr>
  </w:style>
  <w:style w:type="paragraph" w:styleId="Odstavecseseznamem">
    <w:name w:val="List Paragraph"/>
    <w:basedOn w:val="Normln"/>
    <w:uiPriority w:val="99"/>
    <w:qFormat/>
    <w:rsid w:val="00745762"/>
    <w:pPr>
      <w:ind w:left="720"/>
      <w:contextualSpacing/>
    </w:pPr>
  </w:style>
  <w:style w:type="paragraph" w:customStyle="1" w:styleId="Default">
    <w:name w:val="Default"/>
    <w:uiPriority w:val="99"/>
    <w:rsid w:val="00745762"/>
    <w:pPr>
      <w:autoSpaceDE w:val="0"/>
      <w:autoSpaceDN w:val="0"/>
      <w:adjustRightInd w:val="0"/>
    </w:pPr>
    <w:rPr>
      <w:rFonts w:ascii="ADGPFC+TimesNewRoman" w:hAnsi="ADGPFC+TimesNewRoman" w:cs="ADGPFC+TimesNew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9C62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6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</dc:creator>
  <cp:lastModifiedBy>Zahradnikova</cp:lastModifiedBy>
  <cp:revision>2</cp:revision>
  <dcterms:created xsi:type="dcterms:W3CDTF">2014-08-05T12:12:00Z</dcterms:created>
  <dcterms:modified xsi:type="dcterms:W3CDTF">2014-08-05T12:12:00Z</dcterms:modified>
</cp:coreProperties>
</file>