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520E19">
        <w:rPr>
          <w:rFonts w:ascii="Palatino Linotype" w:hAnsi="Palatino Linotype"/>
          <w:sz w:val="40"/>
          <w:szCs w:val="40"/>
          <w:u w:val="none"/>
        </w:rPr>
        <w:t>…</w:t>
      </w:r>
      <w:r w:rsidR="00520E19">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5635C0" w:rsidRDefault="00037FE6"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Městys Podhradí</w:t>
      </w:r>
    </w:p>
    <w:p w:rsidR="002A678B" w:rsidRPr="005635C0" w:rsidRDefault="002A678B" w:rsidP="00E802D3">
      <w:pPr>
        <w:tabs>
          <w:tab w:val="left" w:pos="1701"/>
        </w:tabs>
        <w:ind w:left="567" w:hanging="567"/>
        <w:rPr>
          <w:rFonts w:ascii="Palatino Linotype" w:hAnsi="Palatino Linotype"/>
          <w:sz w:val="22"/>
          <w:szCs w:val="22"/>
        </w:rPr>
      </w:pPr>
      <w:r w:rsidRPr="005635C0">
        <w:rPr>
          <w:rFonts w:ascii="Palatino Linotype" w:hAnsi="Palatino Linotype"/>
          <w:sz w:val="22"/>
          <w:szCs w:val="22"/>
        </w:rPr>
        <w:tab/>
        <w:t xml:space="preserve">sídlo: </w:t>
      </w:r>
      <w:r w:rsidR="00EA6A9E" w:rsidRPr="005635C0">
        <w:rPr>
          <w:rFonts w:ascii="Palatino Linotype" w:hAnsi="Palatino Linotype"/>
          <w:sz w:val="22"/>
          <w:szCs w:val="22"/>
        </w:rPr>
        <w:tab/>
      </w:r>
      <w:r w:rsidR="00037FE6">
        <w:rPr>
          <w:rFonts w:ascii="Palatino Linotype" w:hAnsi="Palatino Linotype"/>
          <w:sz w:val="22"/>
          <w:szCs w:val="22"/>
        </w:rPr>
        <w:t>Čejkovice čp. 17, 506 01 Jičín</w:t>
      </w:r>
      <w:r w:rsidRPr="005635C0">
        <w:rPr>
          <w:rFonts w:ascii="Palatino Linotype" w:hAnsi="Palatino Linotype"/>
          <w:sz w:val="22"/>
          <w:szCs w:val="22"/>
        </w:rPr>
        <w:tab/>
      </w:r>
    </w:p>
    <w:p w:rsidR="002A678B" w:rsidRPr="005635C0" w:rsidRDefault="002A678B" w:rsidP="00E802D3">
      <w:pPr>
        <w:tabs>
          <w:tab w:val="left" w:pos="1701"/>
        </w:tabs>
        <w:ind w:left="567"/>
        <w:rPr>
          <w:rFonts w:ascii="Palatino Linotype" w:hAnsi="Palatino Linotype"/>
          <w:sz w:val="22"/>
          <w:szCs w:val="22"/>
        </w:rPr>
      </w:pPr>
      <w:r w:rsidRPr="005635C0">
        <w:rPr>
          <w:rFonts w:ascii="Palatino Linotype" w:hAnsi="Palatino Linotype"/>
          <w:sz w:val="22"/>
          <w:szCs w:val="22"/>
        </w:rPr>
        <w:t xml:space="preserve">IČ: </w:t>
      </w:r>
      <w:r w:rsidR="00EA6A9E" w:rsidRPr="005635C0">
        <w:rPr>
          <w:rFonts w:ascii="Palatino Linotype" w:hAnsi="Palatino Linotype"/>
          <w:sz w:val="22"/>
          <w:szCs w:val="22"/>
        </w:rPr>
        <w:tab/>
      </w:r>
      <w:r w:rsidR="003A57BC" w:rsidRPr="005635C0">
        <w:rPr>
          <w:rFonts w:ascii="Palatino Linotype" w:hAnsi="Palatino Linotype"/>
          <w:bCs/>
          <w:color w:val="000000"/>
          <w:sz w:val="22"/>
          <w:szCs w:val="22"/>
        </w:rPr>
        <w:t>00</w:t>
      </w:r>
      <w:r w:rsidR="00037FE6">
        <w:rPr>
          <w:rFonts w:ascii="Palatino Linotype" w:hAnsi="Palatino Linotype"/>
          <w:bCs/>
          <w:color w:val="000000"/>
          <w:sz w:val="22"/>
          <w:szCs w:val="22"/>
        </w:rPr>
        <w:t>271951</w:t>
      </w:r>
    </w:p>
    <w:p w:rsidR="00BD0F6F" w:rsidRPr="005635C0" w:rsidRDefault="002A678B" w:rsidP="00E802D3">
      <w:pPr>
        <w:ind w:left="567"/>
        <w:rPr>
          <w:rFonts w:ascii="Palatino Linotype" w:hAnsi="Palatino Linotype"/>
          <w:sz w:val="22"/>
          <w:szCs w:val="22"/>
        </w:rPr>
      </w:pPr>
      <w:r w:rsidRPr="005635C0">
        <w:rPr>
          <w:rFonts w:ascii="Palatino Linotype" w:hAnsi="Palatino Linotype"/>
          <w:sz w:val="22"/>
          <w:szCs w:val="22"/>
        </w:rPr>
        <w:t>Osoby oprávněné jednat ve věcech smluvních:</w:t>
      </w:r>
      <w:r w:rsidR="0038457E" w:rsidRPr="005635C0">
        <w:rPr>
          <w:rFonts w:ascii="Palatino Linotype" w:hAnsi="Palatino Linotype"/>
          <w:sz w:val="22"/>
          <w:szCs w:val="22"/>
        </w:rPr>
        <w:t xml:space="preserve"> </w:t>
      </w:r>
    </w:p>
    <w:p w:rsidR="002A678B" w:rsidRPr="005635C0" w:rsidRDefault="00037FE6" w:rsidP="00BD0F6F">
      <w:pPr>
        <w:numPr>
          <w:ilvl w:val="0"/>
          <w:numId w:val="34"/>
        </w:numPr>
        <w:ind w:left="1134" w:hanging="283"/>
        <w:rPr>
          <w:rFonts w:ascii="Palatino Linotype" w:hAnsi="Palatino Linotype"/>
          <w:sz w:val="22"/>
          <w:szCs w:val="22"/>
        </w:rPr>
      </w:pPr>
      <w:r>
        <w:rPr>
          <w:rFonts w:ascii="Palatino Linotype" w:hAnsi="Palatino Linotype"/>
          <w:sz w:val="22"/>
          <w:szCs w:val="22"/>
        </w:rPr>
        <w:t>Michal Rambousek</w:t>
      </w:r>
      <w:r w:rsidR="005635C0" w:rsidRPr="005635C0">
        <w:rPr>
          <w:rFonts w:ascii="Palatino Linotype" w:hAnsi="Palatino Linotype"/>
          <w:sz w:val="22"/>
          <w:szCs w:val="22"/>
        </w:rPr>
        <w:t>, starosta</w:t>
      </w:r>
      <w:r>
        <w:rPr>
          <w:rFonts w:ascii="Palatino Linotype" w:hAnsi="Palatino Linotype"/>
          <w:sz w:val="22"/>
          <w:szCs w:val="22"/>
        </w:rPr>
        <w:t xml:space="preserve"> městyse</w:t>
      </w:r>
    </w:p>
    <w:p w:rsidR="009F14BE" w:rsidRPr="005635C0" w:rsidRDefault="003A41BA" w:rsidP="009F14BE">
      <w:pPr>
        <w:ind w:firstLine="567"/>
        <w:rPr>
          <w:rFonts w:ascii="Palatino Linotype" w:hAnsi="Palatino Linotype"/>
          <w:sz w:val="22"/>
          <w:szCs w:val="22"/>
        </w:rPr>
      </w:pPr>
      <w:r w:rsidRPr="005635C0">
        <w:rPr>
          <w:rFonts w:ascii="Palatino Linotype" w:hAnsi="Palatino Linotype"/>
          <w:bCs/>
          <w:sz w:val="22"/>
          <w:szCs w:val="22"/>
        </w:rPr>
        <w:t xml:space="preserve">mobil: </w:t>
      </w:r>
      <w:r w:rsidR="00037FE6">
        <w:rPr>
          <w:rFonts w:ascii="Palatino Linotype" w:hAnsi="Palatino Linotype"/>
          <w:bCs/>
          <w:sz w:val="22"/>
          <w:szCs w:val="22"/>
        </w:rPr>
        <w:t>+420 603 288 988</w:t>
      </w:r>
      <w:r w:rsidR="009F14BE" w:rsidRPr="005635C0">
        <w:rPr>
          <w:rFonts w:ascii="Palatino Linotype" w:hAnsi="Palatino Linotype"/>
          <w:bCs/>
          <w:sz w:val="22"/>
          <w:szCs w:val="22"/>
        </w:rPr>
        <w:tab/>
      </w:r>
      <w:r w:rsidR="002A678B" w:rsidRPr="005635C0">
        <w:rPr>
          <w:rFonts w:ascii="Palatino Linotype" w:hAnsi="Palatino Linotype"/>
          <w:bCs/>
          <w:sz w:val="22"/>
          <w:szCs w:val="22"/>
        </w:rPr>
        <w:t xml:space="preserve">E-mail: </w:t>
      </w:r>
      <w:hyperlink r:id="rId8" w:history="1">
        <w:r w:rsidR="00037FE6" w:rsidRPr="0001782E">
          <w:rPr>
            <w:rStyle w:val="Hypertextovodkaz"/>
            <w:rFonts w:ascii="Palatino Linotype" w:hAnsi="Palatino Linotype"/>
            <w:bCs/>
            <w:sz w:val="22"/>
            <w:szCs w:val="22"/>
          </w:rPr>
          <w:t>mestys.podhradi@seznam.cz</w:t>
        </w:r>
      </w:hyperlink>
      <w:r w:rsidR="0038457E" w:rsidRPr="005635C0">
        <w:rPr>
          <w:rFonts w:ascii="Palatino Linotype" w:hAnsi="Palatino Linotype"/>
          <w:bCs/>
          <w:sz w:val="22"/>
          <w:szCs w:val="22"/>
        </w:rPr>
        <w:t xml:space="preserve"> </w:t>
      </w:r>
    </w:p>
    <w:p w:rsidR="00136962" w:rsidRPr="005635C0" w:rsidRDefault="002A678B" w:rsidP="00E802D3">
      <w:pPr>
        <w:ind w:left="567"/>
        <w:rPr>
          <w:rFonts w:ascii="Palatino Linotype" w:hAnsi="Palatino Linotype"/>
          <w:sz w:val="22"/>
          <w:szCs w:val="22"/>
        </w:rPr>
      </w:pPr>
      <w:r w:rsidRPr="005635C0">
        <w:rPr>
          <w:rFonts w:ascii="Palatino Linotype" w:hAnsi="Palatino Linotype"/>
          <w:sz w:val="22"/>
          <w:szCs w:val="22"/>
        </w:rPr>
        <w:t>ve věcech technických</w:t>
      </w:r>
      <w:r w:rsidR="00136962" w:rsidRPr="005635C0">
        <w:rPr>
          <w:rFonts w:ascii="Palatino Linotype" w:hAnsi="Palatino Linotype"/>
          <w:sz w:val="22"/>
          <w:szCs w:val="22"/>
        </w:rPr>
        <w:t xml:space="preserve"> a k převzetí díla</w:t>
      </w:r>
      <w:r w:rsidRPr="005635C0">
        <w:rPr>
          <w:rFonts w:ascii="Palatino Linotype" w:hAnsi="Palatino Linotype"/>
          <w:sz w:val="22"/>
          <w:szCs w:val="22"/>
        </w:rPr>
        <w:t xml:space="preserve">: </w:t>
      </w:r>
    </w:p>
    <w:p w:rsidR="002A678B" w:rsidRPr="005635C0" w:rsidRDefault="002A678B" w:rsidP="00814C8B">
      <w:pPr>
        <w:numPr>
          <w:ilvl w:val="0"/>
          <w:numId w:val="34"/>
        </w:numPr>
        <w:ind w:left="1134" w:hanging="283"/>
        <w:rPr>
          <w:rFonts w:ascii="Palatino Linotype" w:hAnsi="Palatino Linotype"/>
          <w:sz w:val="22"/>
          <w:szCs w:val="22"/>
        </w:rPr>
      </w:pPr>
      <w:r w:rsidRPr="005635C0">
        <w:rPr>
          <w:rFonts w:ascii="Palatino Linotype" w:hAnsi="Palatino Linotype"/>
          <w:sz w:val="22"/>
          <w:szCs w:val="22"/>
        </w:rPr>
        <w:t xml:space="preserve"> </w:t>
      </w:r>
    </w:p>
    <w:p w:rsidR="002A678B" w:rsidRPr="005635C0" w:rsidRDefault="002A678B" w:rsidP="00E802D3">
      <w:pPr>
        <w:ind w:left="710" w:firstLine="706"/>
        <w:rPr>
          <w:rFonts w:ascii="Palatino Linotype" w:hAnsi="Palatino Linotype"/>
          <w:bCs/>
          <w:sz w:val="22"/>
          <w:szCs w:val="22"/>
        </w:rPr>
      </w:pPr>
      <w:r w:rsidRPr="005635C0">
        <w:rPr>
          <w:rFonts w:ascii="Palatino Linotype" w:hAnsi="Palatino Linotype"/>
          <w:bCs/>
          <w:sz w:val="22"/>
          <w:szCs w:val="22"/>
        </w:rPr>
        <w:t>mobil:</w:t>
      </w:r>
      <w:r w:rsidR="00813D92" w:rsidRPr="005635C0">
        <w:rPr>
          <w:rFonts w:ascii="Palatino Linotype" w:hAnsi="Palatino Linotype"/>
          <w:bCs/>
          <w:sz w:val="22"/>
          <w:szCs w:val="22"/>
        </w:rPr>
        <w:tab/>
      </w:r>
      <w:r w:rsidR="00813D92" w:rsidRPr="005635C0">
        <w:rPr>
          <w:rFonts w:ascii="Palatino Linotype" w:hAnsi="Palatino Linotype"/>
          <w:bCs/>
          <w:sz w:val="22"/>
          <w:szCs w:val="22"/>
        </w:rPr>
        <w:tab/>
      </w:r>
      <w:r w:rsidRPr="005635C0">
        <w:rPr>
          <w:rFonts w:ascii="Palatino Linotype" w:hAnsi="Palatino Linotype"/>
          <w:bCs/>
          <w:sz w:val="22"/>
          <w:szCs w:val="22"/>
        </w:rPr>
        <w:tab/>
      </w:r>
      <w:r w:rsidRPr="005635C0">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lastRenderedPageBreak/>
        <w:t>Předmět smlouvy o dílo</w:t>
      </w:r>
    </w:p>
    <w:p w:rsidR="00D638F2" w:rsidRPr="001F0BF8" w:rsidRDefault="006C4E42" w:rsidP="001F0BF8">
      <w:pPr>
        <w:widowControl w:val="0"/>
        <w:autoSpaceDE w:val="0"/>
        <w:autoSpaceDN w:val="0"/>
        <w:adjustRightInd w:val="0"/>
        <w:snapToGrid w:val="0"/>
        <w:jc w:val="both"/>
        <w:rPr>
          <w:rFonts w:cs="Arial"/>
          <w:b/>
          <w:i/>
          <w:color w:val="000000"/>
          <w:sz w:val="32"/>
          <w:szCs w:val="3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1F0BF8" w:rsidRPr="001F0BF8">
        <w:rPr>
          <w:rFonts w:ascii="Palatino Linotype" w:hAnsi="Palatino Linotype" w:cs="Arial"/>
          <w:b/>
          <w:color w:val="000000"/>
          <w:sz w:val="22"/>
          <w:szCs w:val="22"/>
        </w:rPr>
        <w:t>„</w:t>
      </w:r>
      <w:r w:rsidR="00037FE6">
        <w:rPr>
          <w:rFonts w:ascii="Palatino Linotype" w:hAnsi="Palatino Linotype"/>
          <w:b/>
          <w:sz w:val="22"/>
          <w:szCs w:val="22"/>
        </w:rPr>
        <w:t>PODHRADÍ – VOKŠICE, NOVÉ VEŘEJNÉ OSVĚTLENÍ</w:t>
      </w:r>
      <w:r w:rsidR="001F0BF8" w:rsidRPr="001F0BF8">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DA1639" w:rsidRPr="005635C0" w:rsidRDefault="00037FE6" w:rsidP="00EA6A9E">
      <w:pPr>
        <w:widowControl w:val="0"/>
        <w:autoSpaceDE w:val="0"/>
        <w:autoSpaceDN w:val="0"/>
        <w:adjustRightInd w:val="0"/>
        <w:snapToGrid w:val="0"/>
        <w:jc w:val="both"/>
        <w:rPr>
          <w:rFonts w:ascii="Palatino Linotype" w:hAnsi="Palatino Linotype"/>
          <w:sz w:val="22"/>
          <w:szCs w:val="22"/>
        </w:rPr>
      </w:pPr>
      <w:r>
        <w:rPr>
          <w:rFonts w:ascii="Palatino Linotype" w:hAnsi="Palatino Linotype"/>
          <w:sz w:val="22"/>
          <w:szCs w:val="22"/>
        </w:rPr>
        <w:t>Předmětem smlouvy</w:t>
      </w:r>
      <w:r w:rsidR="00DA1639" w:rsidRPr="005635C0">
        <w:rPr>
          <w:rFonts w:ascii="Palatino Linotype" w:hAnsi="Palatino Linotype"/>
          <w:sz w:val="22"/>
          <w:szCs w:val="22"/>
        </w:rPr>
        <w:t xml:space="preserve"> je provedení díla </w:t>
      </w:r>
      <w:r w:rsidRPr="00037FE6">
        <w:rPr>
          <w:rFonts w:ascii="Palatino Linotype" w:hAnsi="Palatino Linotype" w:cs="TT2Ao00"/>
          <w:sz w:val="22"/>
          <w:szCs w:val="22"/>
        </w:rPr>
        <w:t>spočívajícího ve vybudování nové soustavy veřejného osvětlení pro průjezdovou komunikaci – silnici III. třídy číslo 28017 v obci Podhradí - Vokšice</w:t>
      </w:r>
      <w:r w:rsidR="00DA1639" w:rsidRPr="00027936">
        <w:rPr>
          <w:rFonts w:ascii="Palatino Linotype" w:hAnsi="Palatino Linotype"/>
          <w:sz w:val="22"/>
          <w:szCs w:val="22"/>
        </w:rPr>
        <w:t xml:space="preserve">, </w:t>
      </w:r>
      <w:r>
        <w:rPr>
          <w:rFonts w:ascii="Palatino Linotype" w:hAnsi="Palatino Linotype" w:cs="Arial"/>
          <w:sz w:val="22"/>
          <w:szCs w:val="22"/>
        </w:rPr>
        <w:t>jeho</w:t>
      </w:r>
      <w:r w:rsidR="00027936" w:rsidRPr="00027936">
        <w:rPr>
          <w:rFonts w:ascii="Palatino Linotype" w:hAnsi="Palatino Linotype" w:cs="Arial"/>
          <w:sz w:val="22"/>
          <w:szCs w:val="22"/>
        </w:rPr>
        <w:t xml:space="preserve">ž rozsah je dán projektovou dokumentací v rozsahu DSP </w:t>
      </w:r>
      <w:r w:rsidR="00027936" w:rsidRPr="00027936">
        <w:rPr>
          <w:rFonts w:ascii="Palatino Linotype" w:hAnsi="Palatino Linotype"/>
          <w:sz w:val="22"/>
          <w:szCs w:val="22"/>
        </w:rPr>
        <w:t xml:space="preserve">zpracovanou </w:t>
      </w:r>
      <w:r w:rsidR="007B594C" w:rsidRPr="007B594C">
        <w:rPr>
          <w:rFonts w:ascii="Palatino Linotype" w:hAnsi="Palatino Linotype"/>
          <w:sz w:val="22"/>
          <w:szCs w:val="22"/>
        </w:rPr>
        <w:t>společností Efektivní Osvětlování s.r.o., Děčínská 509/31, 470 01 Česká Lípa, IČ: 272 67 806</w:t>
      </w:r>
      <w:r w:rsidR="007B594C" w:rsidRPr="007B594C">
        <w:rPr>
          <w:rFonts w:ascii="Palatino Linotype" w:hAnsi="Palatino Linotype" w:cs="Arial"/>
          <w:bCs/>
          <w:color w:val="000000"/>
          <w:sz w:val="22"/>
          <w:szCs w:val="22"/>
        </w:rPr>
        <w:t xml:space="preserve"> </w:t>
      </w:r>
      <w:r w:rsidR="007B594C" w:rsidRPr="007B594C">
        <w:rPr>
          <w:rFonts w:ascii="Palatino Linotype" w:hAnsi="Palatino Linotype"/>
          <w:sz w:val="22"/>
          <w:szCs w:val="22"/>
        </w:rPr>
        <w:t>v dubnu 2016</w:t>
      </w:r>
      <w:r w:rsidR="00DA1639" w:rsidRPr="00027936">
        <w:rPr>
          <w:rFonts w:ascii="Palatino Linotype" w:hAnsi="Palatino Linotype"/>
          <w:sz w:val="22"/>
          <w:szCs w:val="22"/>
        </w:rPr>
        <w:t xml:space="preserve">, </w:t>
      </w:r>
      <w:r w:rsidR="00DA1639" w:rsidRPr="005635C0">
        <w:rPr>
          <w:rFonts w:ascii="Palatino Linotype" w:hAnsi="Palatino Linotype"/>
          <w:sz w:val="22"/>
          <w:szCs w:val="22"/>
        </w:rPr>
        <w:t xml:space="preserve">a která je jako příloha č. 1 nedílnou součástí této smlouvy včetně oceněného výkazu výměr jako </w:t>
      </w:r>
      <w:r w:rsidR="00DA1639" w:rsidRPr="005635C0">
        <w:rPr>
          <w:rFonts w:ascii="Palatino Linotype" w:hAnsi="Palatino Linotype"/>
          <w:b/>
          <w:sz w:val="22"/>
          <w:szCs w:val="22"/>
          <w:u w:val="single"/>
        </w:rPr>
        <w:t>příloha č. 2.</w:t>
      </w:r>
    </w:p>
    <w:p w:rsidR="00AE621D" w:rsidRDefault="00AE621D" w:rsidP="00AE621D">
      <w:pPr>
        <w:pStyle w:val="Odstavecseseznamem"/>
        <w:ind w:left="567"/>
        <w:contextualSpacing/>
        <w:jc w:val="both"/>
        <w:rPr>
          <w:rFonts w:ascii="Palatino Linotype" w:hAnsi="Palatino Linotype"/>
          <w:b/>
          <w:sz w:val="22"/>
          <w:szCs w:val="22"/>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Default="003A57BC" w:rsidP="003A57BC">
      <w:pPr>
        <w:pStyle w:val="Odstavecseseznamem"/>
        <w:ind w:left="567"/>
        <w:contextualSpacing/>
        <w:jc w:val="both"/>
        <w:rPr>
          <w:rFonts w:ascii="Palatino Linotype" w:hAnsi="Palatino Linotype"/>
          <w:sz w:val="22"/>
          <w:szCs w:val="22"/>
          <w:u w:val="single"/>
        </w:rPr>
      </w:pPr>
    </w:p>
    <w:p w:rsidR="007B594C" w:rsidRPr="007B594C" w:rsidRDefault="001F0BF8" w:rsidP="007B594C">
      <w:pPr>
        <w:autoSpaceDE w:val="0"/>
        <w:autoSpaceDN w:val="0"/>
        <w:adjustRightInd w:val="0"/>
        <w:ind w:firstLine="708"/>
        <w:jc w:val="both"/>
        <w:rPr>
          <w:rFonts w:ascii="Palatino Linotype" w:hAnsi="Palatino Linotype"/>
          <w:sz w:val="22"/>
          <w:szCs w:val="22"/>
        </w:rPr>
      </w:pPr>
      <w:r w:rsidRPr="007B594C">
        <w:rPr>
          <w:rFonts w:ascii="Palatino Linotype" w:hAnsi="Palatino Linotype"/>
          <w:sz w:val="22"/>
          <w:szCs w:val="22"/>
        </w:rPr>
        <w:t xml:space="preserve">V rámci realizace díla bude </w:t>
      </w:r>
      <w:r w:rsidR="007B594C" w:rsidRPr="007B594C">
        <w:rPr>
          <w:rFonts w:ascii="Palatino Linotype" w:hAnsi="Palatino Linotype" w:cs="TT2Ao00"/>
          <w:sz w:val="22"/>
          <w:szCs w:val="22"/>
        </w:rPr>
        <w:t>vybudována nová soustava veřejného osvětlení pro průjezdovou komunikaci – silnici III. třídy číslo 28017 v obci Podhradí - Vokšice. Celková délka osvětlované komunikace je přibližně 480 m a osvětlovací soustava bude rozdělená na 2 větve, obě mají stejné odběrné místo – nový rozvaděč RVO. Pro osvětlení budou využita moderní LED svítidla s vysokou účinností a dlouhou životností montovaná na sloupech nadzemní výšky 8,0 m. Celkově bude vybodováno 12 světlených míst, 10 svítidel bude na sloupech VO, 2 svítidla na stěně budovy.</w:t>
      </w:r>
    </w:p>
    <w:p w:rsidR="00027936" w:rsidRDefault="00027936" w:rsidP="007B594C">
      <w:pPr>
        <w:pStyle w:val="Odstavecseseznamem"/>
        <w:ind w:left="0"/>
        <w:jc w:val="both"/>
        <w:rPr>
          <w:rFonts w:ascii="Palatino Linotype" w:hAnsi="Palatino Linotype"/>
          <w:sz w:val="22"/>
          <w:szCs w:val="22"/>
        </w:rPr>
      </w:pPr>
    </w:p>
    <w:p w:rsidR="00CB52EE" w:rsidRDefault="00AB062A" w:rsidP="00EA6A9E">
      <w:pPr>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7B594C" w:rsidRDefault="007B594C" w:rsidP="00EA6A9E">
      <w:pPr>
        <w:jc w:val="both"/>
        <w:rPr>
          <w:rFonts w:ascii="Palatino Linotype" w:hAnsi="Palatino Linotype"/>
          <w:sz w:val="22"/>
          <w:szCs w:val="22"/>
        </w:rPr>
      </w:pPr>
    </w:p>
    <w:p w:rsidR="007B594C" w:rsidRDefault="007B594C" w:rsidP="00EA6A9E">
      <w:pPr>
        <w:jc w:val="both"/>
        <w:rPr>
          <w:rFonts w:ascii="Palatino Linotype" w:hAnsi="Palatino Linotype"/>
          <w:sz w:val="22"/>
          <w:szCs w:val="22"/>
        </w:rPr>
      </w:pPr>
    </w:p>
    <w:p w:rsidR="007B594C" w:rsidRPr="0041706B" w:rsidRDefault="007B594C" w:rsidP="00EA6A9E">
      <w:pPr>
        <w:jc w:val="both"/>
        <w:rPr>
          <w:rFonts w:ascii="Palatino Linotype" w:hAnsi="Palatino Linotype"/>
          <w:sz w:val="22"/>
          <w:szCs w:val="22"/>
        </w:rPr>
      </w:pPr>
    </w:p>
    <w:p w:rsidR="00AB062A" w:rsidRPr="0041706B" w:rsidRDefault="00AB062A"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A24D63">
        <w:rPr>
          <w:rFonts w:ascii="Palatino Linotype" w:hAnsi="Palatino Linotype"/>
          <w:b/>
          <w:sz w:val="22"/>
          <w:szCs w:val="22"/>
        </w:rPr>
        <w:t>Předpokládaný termín předání staveniště:</w:t>
      </w:r>
      <w:r w:rsidRPr="00A24D63">
        <w:rPr>
          <w:rFonts w:ascii="Palatino Linotype" w:hAnsi="Palatino Linotype"/>
          <w:b/>
          <w:sz w:val="22"/>
          <w:szCs w:val="22"/>
        </w:rPr>
        <w:tab/>
        <w:t>do 10 dnů od podpisu smlouvy s vybraným uchazečem</w:t>
      </w: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A24D63">
        <w:rPr>
          <w:rFonts w:ascii="Palatino Linotype" w:hAnsi="Palatino Linotype"/>
          <w:b/>
          <w:sz w:val="22"/>
          <w:szCs w:val="22"/>
        </w:rPr>
        <w:t xml:space="preserve">Předpokládaný termín zahájení: </w:t>
      </w:r>
      <w:r w:rsidRPr="00A24D63">
        <w:rPr>
          <w:rFonts w:ascii="Palatino Linotype" w:hAnsi="Palatino Linotype"/>
          <w:b/>
          <w:sz w:val="22"/>
          <w:szCs w:val="22"/>
        </w:rPr>
        <w:tab/>
        <w:t>do 14 dnů od podpisu smlouvy s vybraným uchazečem</w:t>
      </w: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C67819">
        <w:rPr>
          <w:rFonts w:ascii="Palatino Linotype" w:hAnsi="Palatino Linotype"/>
          <w:b/>
          <w:sz w:val="22"/>
          <w:szCs w:val="22"/>
        </w:rPr>
        <w:t>Předpokládaný termín</w:t>
      </w:r>
      <w:r w:rsidR="00F90949" w:rsidRPr="00C67819">
        <w:rPr>
          <w:rFonts w:ascii="Palatino Linotype" w:hAnsi="Palatino Linotype"/>
          <w:b/>
          <w:sz w:val="22"/>
          <w:szCs w:val="22"/>
        </w:rPr>
        <w:t xml:space="preserve"> dokončení: </w:t>
      </w:r>
      <w:r w:rsidR="00F90949" w:rsidRPr="00C67819">
        <w:rPr>
          <w:rFonts w:ascii="Palatino Linotype" w:hAnsi="Palatino Linotype"/>
          <w:b/>
          <w:sz w:val="22"/>
          <w:szCs w:val="22"/>
        </w:rPr>
        <w:tab/>
      </w:r>
      <w:r w:rsidR="00F90949" w:rsidRPr="001F0BF8">
        <w:rPr>
          <w:rFonts w:ascii="Palatino Linotype" w:hAnsi="Palatino Linotype"/>
          <w:b/>
          <w:sz w:val="22"/>
          <w:szCs w:val="22"/>
          <w:highlight w:val="yellow"/>
        </w:rPr>
        <w:t xml:space="preserve">do </w:t>
      </w:r>
      <w:r w:rsidR="007B594C">
        <w:rPr>
          <w:rFonts w:ascii="Palatino Linotype" w:hAnsi="Palatino Linotype"/>
          <w:b/>
          <w:sz w:val="22"/>
          <w:szCs w:val="22"/>
          <w:highlight w:val="yellow"/>
        </w:rPr>
        <w:t>4</w:t>
      </w:r>
      <w:r w:rsidR="00C67819" w:rsidRPr="001F0BF8">
        <w:rPr>
          <w:rFonts w:ascii="Palatino Linotype" w:hAnsi="Palatino Linotype"/>
          <w:b/>
          <w:sz w:val="22"/>
          <w:szCs w:val="22"/>
          <w:highlight w:val="yellow"/>
        </w:rPr>
        <w:t xml:space="preserve"> </w:t>
      </w:r>
      <w:r w:rsidRPr="001F0BF8">
        <w:rPr>
          <w:rFonts w:ascii="Palatino Linotype" w:hAnsi="Palatino Linotype"/>
          <w:b/>
          <w:sz w:val="22"/>
          <w:szCs w:val="22"/>
          <w:highlight w:val="yellow"/>
        </w:rPr>
        <w:t>měsíců od zahájení</w:t>
      </w:r>
      <w:r w:rsidRPr="00A24D63">
        <w:rPr>
          <w:rFonts w:ascii="Palatino Linotype" w:hAnsi="Palatino Linotype"/>
          <w:b/>
          <w:sz w:val="22"/>
          <w:szCs w:val="22"/>
        </w:rPr>
        <w:t xml:space="preserve"> </w:t>
      </w:r>
    </w:p>
    <w:p w:rsidR="00A24D63" w:rsidRPr="00A24D63" w:rsidRDefault="00A24D63" w:rsidP="00A24D63">
      <w:pPr>
        <w:tabs>
          <w:tab w:val="left" w:pos="5103"/>
        </w:tabs>
        <w:spacing w:after="60"/>
        <w:outlineLvl w:val="0"/>
        <w:rPr>
          <w:rFonts w:ascii="Palatino Linotype" w:hAnsi="Palatino Linotype"/>
          <w:b/>
          <w:bCs/>
          <w:sz w:val="22"/>
          <w:szCs w:val="22"/>
        </w:rPr>
      </w:pPr>
      <w:r w:rsidRPr="00A24D63">
        <w:rPr>
          <w:rFonts w:ascii="Palatino Linotype" w:hAnsi="Palatino Linotype"/>
          <w:b/>
          <w:bCs/>
          <w:sz w:val="22"/>
          <w:szCs w:val="22"/>
        </w:rPr>
        <w:t>Předpokládaný termín předání a převzetí:</w:t>
      </w:r>
      <w:r w:rsidRPr="00A24D63">
        <w:rPr>
          <w:rFonts w:ascii="Palatino Linotype" w:hAnsi="Palatino Linotype"/>
          <w:b/>
          <w:bCs/>
          <w:sz w:val="22"/>
          <w:szCs w:val="22"/>
        </w:rPr>
        <w:tab/>
        <w:t>do 14 dnů od dokončení díla</w:t>
      </w:r>
    </w:p>
    <w:p w:rsidR="00A24D63" w:rsidRPr="00A24D63" w:rsidRDefault="00A24D63" w:rsidP="00A24D63">
      <w:pPr>
        <w:tabs>
          <w:tab w:val="left" w:pos="5103"/>
        </w:tabs>
        <w:spacing w:after="60"/>
        <w:outlineLvl w:val="0"/>
        <w:rPr>
          <w:rFonts w:ascii="Palatino Linotype" w:hAnsi="Palatino Linotype"/>
          <w:b/>
          <w:bCs/>
          <w:sz w:val="22"/>
          <w:szCs w:val="22"/>
        </w:rPr>
      </w:pPr>
      <w:r w:rsidRPr="00A24D63">
        <w:rPr>
          <w:rFonts w:ascii="Palatino Linotype" w:hAnsi="Palatino Linotype"/>
          <w:b/>
          <w:bCs/>
          <w:sz w:val="22"/>
          <w:szCs w:val="22"/>
        </w:rPr>
        <w:t>Předpokládaný termín vyklizení staveniště:</w:t>
      </w:r>
      <w:r w:rsidRPr="00A24D63">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A878E5" w:rsidRDefault="003B6BB3" w:rsidP="00A24D63">
      <w:pPr>
        <w:pStyle w:val="Bezmezer"/>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703B40" w:rsidRDefault="00F90949" w:rsidP="00A24D63">
      <w:pPr>
        <w:pStyle w:val="Bezmezer"/>
        <w:jc w:val="both"/>
        <w:rPr>
          <w:rFonts w:ascii="Palatino Linotype" w:hAnsi="Palatino Linotype"/>
          <w:bCs/>
          <w:sz w:val="8"/>
          <w:szCs w:val="8"/>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EA6A9E" w:rsidRDefault="004C3F1A"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EA6A9E" w:rsidRPr="007B594C">
        <w:rPr>
          <w:rFonts w:ascii="Palatino Linotype" w:hAnsi="Palatino Linotype"/>
          <w:sz w:val="22"/>
          <w:szCs w:val="22"/>
        </w:rPr>
        <w:t>j</w:t>
      </w:r>
      <w:r w:rsidR="00A31F91" w:rsidRPr="007B594C">
        <w:rPr>
          <w:rFonts w:ascii="Palatino Linotype" w:hAnsi="Palatino Linotype"/>
          <w:sz w:val="22"/>
          <w:szCs w:val="22"/>
        </w:rPr>
        <w:t xml:space="preserve">e </w:t>
      </w:r>
      <w:r w:rsidR="007B594C" w:rsidRPr="007B594C">
        <w:rPr>
          <w:rFonts w:ascii="Palatino Linotype" w:hAnsi="Palatino Linotype"/>
          <w:sz w:val="22"/>
          <w:szCs w:val="22"/>
        </w:rPr>
        <w:t>městys Podhradí, k. ú. 723 746 – místní část Vokšice</w:t>
      </w:r>
      <w:r w:rsidR="00483134" w:rsidRPr="007B594C">
        <w:rPr>
          <w:rFonts w:ascii="Palatino Linotype" w:hAnsi="Palatino Linotype" w:cs="Arial"/>
          <w:sz w:val="22"/>
          <w:szCs w:val="22"/>
        </w:rPr>
        <w:t>,</w:t>
      </w:r>
      <w:r w:rsidR="00483134" w:rsidRPr="00EA6A9E">
        <w:rPr>
          <w:rFonts w:ascii="Palatino Linotype" w:hAnsi="Palatino Linotype" w:cs="Arial"/>
          <w:sz w:val="22"/>
          <w:szCs w:val="22"/>
        </w:rPr>
        <w:t xml:space="preserve"> na </w:t>
      </w:r>
      <w:r w:rsidR="00483134" w:rsidRPr="00EA6A9E">
        <w:rPr>
          <w:rFonts w:ascii="Palatino Linotype" w:hAnsi="Palatino Linotype" w:cs="Arial"/>
          <w:color w:val="000000"/>
          <w:sz w:val="22"/>
          <w:szCs w:val="22"/>
        </w:rPr>
        <w:t>území Královéhradeckého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703B40">
        <w:rPr>
          <w:rFonts w:ascii="Palatino Linotype" w:hAnsi="Palatino Linotype"/>
          <w:b/>
          <w:sz w:val="22"/>
          <w:szCs w:val="22"/>
        </w:rPr>
        <w:t>__.__</w:t>
      </w:r>
      <w:r w:rsidRPr="00703B40">
        <w:rPr>
          <w:rFonts w:ascii="Palatino Linotype" w:hAnsi="Palatino Linotype"/>
          <w:b/>
          <w:sz w:val="22"/>
          <w:szCs w:val="22"/>
        </w:rPr>
        <w:t>.201</w:t>
      </w:r>
      <w:r w:rsidR="00703B40" w:rsidRPr="00703B40">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7B594C" w:rsidRDefault="00C1436E" w:rsidP="00E802D3">
      <w:pPr>
        <w:ind w:left="567" w:hanging="567"/>
        <w:jc w:val="both"/>
        <w:rPr>
          <w:rFonts w:ascii="Palatino Linotype" w:hAnsi="Palatino Linotype"/>
          <w:snapToGrid w:val="0"/>
          <w:sz w:val="12"/>
          <w:szCs w:val="1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w:t>
      </w:r>
      <w:r w:rsidR="007B594C" w:rsidRPr="002943EE">
        <w:rPr>
          <w:rFonts w:ascii="Palatino Linotype" w:hAnsi="Palatino Linotype"/>
          <w:sz w:val="22"/>
          <w:szCs w:val="22"/>
        </w:rPr>
        <w:t>cenách, v platném</w:t>
      </w:r>
      <w:r w:rsidRPr="002943EE">
        <w:rPr>
          <w:rFonts w:ascii="Palatino Linotype" w:hAnsi="Palatino Linotype"/>
          <w:sz w:val="22"/>
          <w:szCs w:val="22"/>
        </w:rPr>
        <w:t xml:space="preserve">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7B594C" w:rsidRDefault="00C1436E" w:rsidP="00E802D3">
      <w:pPr>
        <w:pStyle w:val="Odstavecseseznamem"/>
        <w:ind w:left="567" w:hanging="567"/>
        <w:jc w:val="both"/>
        <w:rPr>
          <w:rFonts w:ascii="Palatino Linotype" w:hAnsi="Palatino Linotype"/>
          <w:sz w:val="10"/>
          <w:szCs w:val="10"/>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AE621D" w:rsidRPr="00EA6A9E" w:rsidRDefault="00AE621D" w:rsidP="00483134">
      <w:pPr>
        <w:pStyle w:val="Bezmezer"/>
        <w:ind w:left="708"/>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7B594C" w:rsidRDefault="00650656" w:rsidP="00E802D3">
      <w:pPr>
        <w:pStyle w:val="Bezmezer"/>
        <w:numPr>
          <w:ilvl w:val="0"/>
          <w:numId w:val="11"/>
        </w:numPr>
        <w:ind w:left="567" w:hanging="567"/>
        <w:jc w:val="both"/>
        <w:rPr>
          <w:rFonts w:ascii="Palatino Linotype" w:hAnsi="Palatino Linotype"/>
          <w:sz w:val="22"/>
          <w:szCs w:val="22"/>
          <w:lang w:val="cs-CZ"/>
        </w:rPr>
      </w:pPr>
      <w:r w:rsidRPr="007B594C">
        <w:rPr>
          <w:rFonts w:ascii="Palatino Linotype" w:hAnsi="Palatino Linotype"/>
          <w:sz w:val="22"/>
          <w:szCs w:val="22"/>
          <w:lang w:val="cs-CZ"/>
        </w:rPr>
        <w:t>DPH</w:t>
      </w:r>
      <w:r w:rsidR="00C1436E" w:rsidRPr="007B594C">
        <w:rPr>
          <w:rFonts w:ascii="Palatino Linotype" w:hAnsi="Palatino Linotype"/>
          <w:sz w:val="22"/>
          <w:szCs w:val="22"/>
          <w:lang w:val="cs-CZ"/>
        </w:rPr>
        <w:t xml:space="preserve"> bude účtována dle plat</w:t>
      </w:r>
      <w:r w:rsidR="004C1EF3" w:rsidRPr="007B594C">
        <w:rPr>
          <w:rFonts w:ascii="Palatino Linotype" w:hAnsi="Palatino Linotype"/>
          <w:sz w:val="22"/>
          <w:szCs w:val="22"/>
          <w:lang w:val="cs-CZ"/>
        </w:rPr>
        <w:t xml:space="preserve">ných předpisů v době vystavení </w:t>
      </w:r>
      <w:r w:rsidR="00C1436E" w:rsidRPr="007B594C">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sidRPr="007B594C">
        <w:rPr>
          <w:rFonts w:ascii="Palatino Linotype" w:hAnsi="Palatino Linotype"/>
          <w:sz w:val="22"/>
          <w:szCs w:val="22"/>
          <w:lang w:val="cs-CZ"/>
        </w:rPr>
        <w:t>souvisejících právních předpisů</w:t>
      </w:r>
      <w:r w:rsidR="00C1436E" w:rsidRPr="007B594C">
        <w:rPr>
          <w:rFonts w:ascii="Palatino Linotype" w:hAnsi="Palatino Linotype"/>
          <w:sz w:val="22"/>
          <w:szCs w:val="22"/>
          <w:lang w:val="cs-CZ"/>
        </w:rPr>
        <w:t xml:space="preserve">. </w:t>
      </w: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lastRenderedPageBreak/>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703B40" w:rsidRDefault="00703B40" w:rsidP="00703B40">
      <w:pPr>
        <w:contextualSpacing/>
        <w:jc w:val="both"/>
        <w:rPr>
          <w:rFonts w:ascii="Palatino Linotype" w:hAnsi="Palatino Linotype"/>
          <w:sz w:val="22"/>
          <w:szCs w:val="22"/>
        </w:rPr>
      </w:pPr>
    </w:p>
    <w:p w:rsidR="00703B40" w:rsidRPr="00703B40" w:rsidRDefault="00703B40" w:rsidP="00703B40">
      <w:pPr>
        <w:contextualSpacing/>
        <w:jc w:val="both"/>
        <w:rPr>
          <w:rFonts w:ascii="Palatino Linotype" w:hAnsi="Palatino Linotype"/>
          <w:sz w:val="22"/>
          <w:szCs w:val="22"/>
        </w:rPr>
      </w:pP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lastRenderedPageBreak/>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7B594C" w:rsidRDefault="007B594C" w:rsidP="007B594C">
      <w:pPr>
        <w:contextualSpacing/>
        <w:jc w:val="both"/>
        <w:rPr>
          <w:rFonts w:ascii="Palatino Linotype" w:hAnsi="Palatino Linotype"/>
          <w:b/>
          <w:sz w:val="22"/>
          <w:szCs w:val="22"/>
        </w:rPr>
      </w:pPr>
    </w:p>
    <w:p w:rsidR="007B594C" w:rsidRDefault="007B594C" w:rsidP="007B594C">
      <w:pPr>
        <w:contextualSpacing/>
        <w:jc w:val="both"/>
        <w:rPr>
          <w:rFonts w:ascii="Palatino Linotype" w:hAnsi="Palatino Linotype"/>
          <w:b/>
          <w:sz w:val="22"/>
          <w:szCs w:val="22"/>
        </w:rPr>
      </w:pPr>
    </w:p>
    <w:p w:rsidR="007B594C" w:rsidRPr="007B594C" w:rsidRDefault="007B594C" w:rsidP="007B594C">
      <w:pPr>
        <w:contextualSpacing/>
        <w:jc w:val="both"/>
        <w:rPr>
          <w:rFonts w:ascii="Palatino Linotype" w:hAnsi="Palatino Linotype"/>
          <w:b/>
          <w:sz w:val="22"/>
          <w:szCs w:val="22"/>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7B594C" w:rsidRPr="007B594C" w:rsidRDefault="007B594C" w:rsidP="007B594C">
      <w:pPr>
        <w:contextualSpacing/>
        <w:jc w:val="both"/>
        <w:rPr>
          <w:rFonts w:ascii="Palatino Linotype" w:hAnsi="Palatino Linotype"/>
          <w:sz w:val="22"/>
          <w:szCs w:val="22"/>
        </w:rPr>
      </w:pP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lastRenderedPageBreak/>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7B594C">
        <w:rPr>
          <w:rFonts w:ascii="Palatino Linotype" w:hAnsi="Palatino Linotype" w:cs="Arial"/>
          <w:b/>
          <w:bCs/>
          <w:sz w:val="22"/>
          <w:szCs w:val="22"/>
        </w:rPr>
        <w:t>výši min. 1.5</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lastRenderedPageBreak/>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7B594C">
        <w:rPr>
          <w:rFonts w:ascii="Palatino Linotype" w:hAnsi="Palatino Linotype"/>
          <w:sz w:val="22"/>
          <w:szCs w:val="22"/>
        </w:rPr>
        <w:t>Michal Rambousek</w:t>
      </w:r>
      <w:r w:rsidR="00483134" w:rsidRPr="00AF4099">
        <w:rPr>
          <w:rFonts w:ascii="Palatino Linotype" w:hAnsi="Palatino Linotype"/>
          <w:sz w:val="22"/>
          <w:szCs w:val="22"/>
        </w:rPr>
        <w:t xml:space="preserve">, starosta </w:t>
      </w:r>
      <w:r w:rsidR="007B594C">
        <w:rPr>
          <w:rFonts w:ascii="Palatino Linotype" w:hAnsi="Palatino Linotype"/>
          <w:sz w:val="22"/>
          <w:szCs w:val="22"/>
        </w:rPr>
        <w:t>městyse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7B594C" w:rsidRDefault="007B594C"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7B594C" w:rsidRPr="0041706B" w:rsidRDefault="007B594C"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7B594C" w:rsidRPr="002E58A4" w:rsidRDefault="007B594C" w:rsidP="007B594C">
      <w:pPr>
        <w:jc w:val="both"/>
        <w:rPr>
          <w:rFonts w:ascii="Palatino Linotype" w:hAnsi="Palatino Linotype"/>
          <w:sz w:val="22"/>
          <w:szCs w:val="22"/>
        </w:rPr>
      </w:pP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27936" w:rsidRPr="002E58A4" w:rsidRDefault="00027936" w:rsidP="00027936">
      <w:pPr>
        <w:ind w:left="567"/>
        <w:jc w:val="both"/>
        <w:rPr>
          <w:rFonts w:ascii="Palatino Linotype" w:hAnsi="Palatino Linotype"/>
          <w:sz w:val="22"/>
          <w:szCs w:val="22"/>
        </w:rPr>
      </w:pP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27936" w:rsidRPr="002E58A4" w:rsidRDefault="00027936" w:rsidP="00027936">
      <w:pPr>
        <w:ind w:left="567"/>
        <w:jc w:val="both"/>
        <w:rPr>
          <w:rFonts w:ascii="Palatino Linotype" w:hAnsi="Palatino Linotype"/>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lastRenderedPageBreak/>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027936" w:rsidRPr="002E58A4" w:rsidRDefault="00027936" w:rsidP="00027936">
      <w:pPr>
        <w:jc w:val="both"/>
        <w:rPr>
          <w:rFonts w:ascii="Palatino Linotype" w:hAnsi="Palatino Linotype"/>
          <w:sz w:val="22"/>
          <w:szCs w:val="22"/>
        </w:rPr>
      </w:pP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Pr="0041706B" w:rsidRDefault="00DD1566"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F83B66" w:rsidRDefault="00F83B66" w:rsidP="00656CDC">
      <w:pPr>
        <w:jc w:val="both"/>
        <w:rPr>
          <w:rFonts w:ascii="Palatino Linotype" w:hAnsi="Palatino Linotype"/>
          <w:sz w:val="22"/>
          <w:szCs w:val="22"/>
        </w:rPr>
      </w:pPr>
    </w:p>
    <w:p w:rsidR="00656CDC" w:rsidRPr="006302F3" w:rsidRDefault="00656CDC" w:rsidP="00656CDC">
      <w:pPr>
        <w:jc w:val="both"/>
        <w:rPr>
          <w:rFonts w:ascii="Palatino Linotype" w:hAnsi="Palatino Linotype"/>
          <w:sz w:val="10"/>
          <w:szCs w:val="10"/>
        </w:rPr>
      </w:pPr>
    </w:p>
    <w:p w:rsidR="00125922" w:rsidRDefault="00125922"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lastRenderedPageBreak/>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83B66"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FF4387" w:rsidRDefault="00FF4387"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7B594C" w:rsidRDefault="007B594C"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7B594C">
        <w:rPr>
          <w:rFonts w:ascii="Palatino Linotype" w:hAnsi="Palatino Linotype"/>
          <w:b/>
          <w:bCs/>
          <w:sz w:val="22"/>
          <w:szCs w:val="22"/>
        </w:rPr>
        <w:t xml:space="preserve"> </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F94" w:rsidRDefault="00623F94" w:rsidP="00B01F50">
      <w:r>
        <w:separator/>
      </w:r>
    </w:p>
  </w:endnote>
  <w:endnote w:type="continuationSeparator" w:id="1">
    <w:p w:rsidR="00623F94" w:rsidRDefault="00623F94"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2Ao00">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C" w:rsidRDefault="007B594C"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B594C" w:rsidRDefault="007B594C"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C" w:rsidRDefault="007B594C"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03FE7">
      <w:rPr>
        <w:rStyle w:val="slostrnky"/>
        <w:noProof/>
      </w:rPr>
      <w:t>18</w:t>
    </w:r>
    <w:r>
      <w:rPr>
        <w:rStyle w:val="slostrnky"/>
      </w:rPr>
      <w:fldChar w:fldCharType="end"/>
    </w:r>
  </w:p>
  <w:p w:rsidR="007B594C" w:rsidRDefault="007B594C" w:rsidP="0037588B">
    <w:pPr>
      <w:pStyle w:val="Zpat"/>
    </w:pPr>
    <w:r>
      <w:t>Profesionálové, a.s. Haškova 1714/3,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7B594C" w:rsidRDefault="007B594C" w:rsidP="0037588B">
    <w:pPr>
      <w:pStyle w:val="Zpat"/>
    </w:pPr>
    <w:r>
      <w:t>IČ 288 06 123 DIČ CZ28806123</w:t>
    </w:r>
  </w:p>
  <w:p w:rsidR="007B594C" w:rsidRDefault="007B594C" w:rsidP="0037588B">
    <w:pPr>
      <w:pStyle w:val="Zpat"/>
    </w:pPr>
    <w:hyperlink r:id="rId2" w:history="1">
      <w:r w:rsidRPr="00C03461">
        <w:rPr>
          <w:rStyle w:val="Hypertextovodkaz"/>
        </w:rPr>
        <w:t>www.profesionalove.cz</w:t>
      </w:r>
    </w:hyperlink>
  </w:p>
  <w:p w:rsidR="007B594C" w:rsidRDefault="007B594C" w:rsidP="0037588B">
    <w:pPr>
      <w:pStyle w:val="Zpat"/>
    </w:pPr>
    <w:r>
      <w:t>info</w:t>
    </w:r>
    <w:r>
      <w:rPr>
        <w:rFonts w:cs="Calibri"/>
      </w:rPr>
      <w:t>@</w:t>
    </w:r>
    <w:r>
      <w:t>profesionalove.cz</w:t>
    </w:r>
  </w:p>
  <w:p w:rsidR="007B594C" w:rsidRDefault="007B594C"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F94" w:rsidRDefault="00623F94" w:rsidP="00B01F50">
      <w:r>
        <w:separator/>
      </w:r>
    </w:p>
  </w:footnote>
  <w:footnote w:type="continuationSeparator" w:id="1">
    <w:p w:rsidR="00623F94" w:rsidRDefault="00623F94"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C" w:rsidRDefault="007B594C">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2.25pt;height:12.2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37FE6"/>
    <w:rsid w:val="00057A79"/>
    <w:rsid w:val="000606CB"/>
    <w:rsid w:val="000732B7"/>
    <w:rsid w:val="00077403"/>
    <w:rsid w:val="00093767"/>
    <w:rsid w:val="000957B2"/>
    <w:rsid w:val="000A5363"/>
    <w:rsid w:val="000B0CA4"/>
    <w:rsid w:val="000C32BA"/>
    <w:rsid w:val="000D548B"/>
    <w:rsid w:val="000D6FA9"/>
    <w:rsid w:val="001104B9"/>
    <w:rsid w:val="00112C16"/>
    <w:rsid w:val="00114EBD"/>
    <w:rsid w:val="00121D53"/>
    <w:rsid w:val="00125922"/>
    <w:rsid w:val="00136962"/>
    <w:rsid w:val="00150FA0"/>
    <w:rsid w:val="00152BA7"/>
    <w:rsid w:val="00154ED7"/>
    <w:rsid w:val="001661DC"/>
    <w:rsid w:val="00174E6A"/>
    <w:rsid w:val="001A5E7D"/>
    <w:rsid w:val="001A794D"/>
    <w:rsid w:val="001C4CE8"/>
    <w:rsid w:val="001D2BD1"/>
    <w:rsid w:val="001E43E4"/>
    <w:rsid w:val="001F0BF8"/>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63AAA"/>
    <w:rsid w:val="00477ABD"/>
    <w:rsid w:val="00483134"/>
    <w:rsid w:val="00496B54"/>
    <w:rsid w:val="004978D2"/>
    <w:rsid w:val="004A05AA"/>
    <w:rsid w:val="004A253E"/>
    <w:rsid w:val="004A47A7"/>
    <w:rsid w:val="004A7FA3"/>
    <w:rsid w:val="004C1EF3"/>
    <w:rsid w:val="004C38CE"/>
    <w:rsid w:val="004C3F1A"/>
    <w:rsid w:val="004C6911"/>
    <w:rsid w:val="004C7C79"/>
    <w:rsid w:val="004D4876"/>
    <w:rsid w:val="004F2E7B"/>
    <w:rsid w:val="004F7839"/>
    <w:rsid w:val="00520E19"/>
    <w:rsid w:val="00551395"/>
    <w:rsid w:val="005635C0"/>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23F94"/>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3B40"/>
    <w:rsid w:val="00707D01"/>
    <w:rsid w:val="00720D8F"/>
    <w:rsid w:val="00722A9C"/>
    <w:rsid w:val="00731B05"/>
    <w:rsid w:val="007414E3"/>
    <w:rsid w:val="007433D1"/>
    <w:rsid w:val="0074727E"/>
    <w:rsid w:val="00751AE3"/>
    <w:rsid w:val="00761B59"/>
    <w:rsid w:val="007A4FC6"/>
    <w:rsid w:val="007A6782"/>
    <w:rsid w:val="007A7BB5"/>
    <w:rsid w:val="007B594C"/>
    <w:rsid w:val="007C5F78"/>
    <w:rsid w:val="007D6216"/>
    <w:rsid w:val="007E5022"/>
    <w:rsid w:val="007F2F18"/>
    <w:rsid w:val="007F674C"/>
    <w:rsid w:val="00802466"/>
    <w:rsid w:val="00806729"/>
    <w:rsid w:val="00813D92"/>
    <w:rsid w:val="00814392"/>
    <w:rsid w:val="00814C8B"/>
    <w:rsid w:val="00814D49"/>
    <w:rsid w:val="008309E4"/>
    <w:rsid w:val="00831B98"/>
    <w:rsid w:val="00843C0B"/>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FE7"/>
    <w:rsid w:val="00B04937"/>
    <w:rsid w:val="00B07BE9"/>
    <w:rsid w:val="00B222B0"/>
    <w:rsid w:val="00B31C57"/>
    <w:rsid w:val="00B549C2"/>
    <w:rsid w:val="00B67DFC"/>
    <w:rsid w:val="00B72F54"/>
    <w:rsid w:val="00B75D5B"/>
    <w:rsid w:val="00B77BFC"/>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CF2CAB"/>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63F4D"/>
    <w:rsid w:val="00E73F29"/>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B89"/>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tys.podhradi@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BABD-4B23-44B7-9BFD-E1CEFAB7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6457</Words>
  <Characters>38097</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44466</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2015-07-16T13:21:00Z</cp:lastPrinted>
  <dcterms:created xsi:type="dcterms:W3CDTF">2016-05-24T14:49:00Z</dcterms:created>
  <dcterms:modified xsi:type="dcterms:W3CDTF">2016-05-24T14:49:00Z</dcterms:modified>
</cp:coreProperties>
</file>