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91297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F16CC5">
        <w:rPr>
          <w:rFonts w:ascii="Palatino Linotype" w:hAnsi="Palatino Linotype" w:cs="Arial"/>
          <w:b/>
        </w:rPr>
        <w:t>8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 xml:space="preserve">ČESTNÉ </w:t>
      </w:r>
      <w:r w:rsidR="005A14ED" w:rsidRPr="00E828DD">
        <w:rPr>
          <w:rFonts w:ascii="Palatino Linotype" w:hAnsi="Palatino Linotype" w:cs="Arial"/>
          <w:b/>
        </w:rPr>
        <w:t>PROHLÁŠENÍ</w:t>
      </w:r>
      <w:r w:rsidR="005A14ED">
        <w:rPr>
          <w:rFonts w:ascii="Palatino Linotype" w:hAnsi="Palatino Linotype" w:cs="Arial"/>
          <w:b/>
        </w:rPr>
        <w:t xml:space="preserve"> – SEZNAM</w:t>
      </w:r>
      <w:r w:rsidR="003356A7">
        <w:rPr>
          <w:rFonts w:ascii="Palatino Linotype" w:hAnsi="Palatino Linotype" w:cs="Arial"/>
          <w:b/>
        </w:rPr>
        <w:t xml:space="preserve">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E7B3E" w:rsidRPr="005B71F6" w:rsidRDefault="00BE7B3E" w:rsidP="00BE7B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BE7B3E" w:rsidRPr="005B71F6" w:rsidRDefault="00BE7B3E" w:rsidP="00BE7B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BE7B3E" w:rsidRDefault="00BE7B3E" w:rsidP="00BE7B3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E7B3E" w:rsidRPr="00923D7F" w:rsidRDefault="00BE7B3E" w:rsidP="00BE7B3E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BE7B3E" w:rsidRPr="00786D3D" w:rsidRDefault="00BE7B3E" w:rsidP="00BE7B3E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BE7B3E" w:rsidRPr="00786D3D" w:rsidRDefault="00BE7B3E" w:rsidP="00BE7B3E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BE7B3E" w:rsidRPr="00786D3D" w:rsidRDefault="00BE7B3E" w:rsidP="00BE7B3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BE7B3E" w:rsidRDefault="00BE7B3E" w:rsidP="00BE7B3E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912973" w:rsidRPr="0091297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91297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91297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91297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91297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>
        <w:rPr>
          <w:rFonts w:ascii="Palatino Linotype" w:hAnsi="Palatino Linotype" w:cs="Arial"/>
        </w:rPr>
        <w:t>zastoupen</w:t>
      </w:r>
      <w:r w:rsidR="0009523A" w:rsidRPr="00E828DD">
        <w:rPr>
          <w:rFonts w:ascii="Palatino Linotype" w:hAnsi="Palatino Linotype" w:cs="Arial"/>
        </w:rPr>
        <w:t xml:space="preserve">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5A14ED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 xml:space="preserve">na kvalifikaci dle </w:t>
      </w:r>
      <w:r w:rsidR="0029708E">
        <w:rPr>
          <w:rFonts w:ascii="Palatino Linotype" w:hAnsi="Palatino Linotype"/>
        </w:rPr>
        <w:t xml:space="preserve">čl. 4 odst. IV. písm. c) </w:t>
      </w:r>
      <w:r w:rsidR="0009523A">
        <w:rPr>
          <w:rFonts w:ascii="Palatino Linotype" w:hAnsi="Palatino Linotype"/>
        </w:rPr>
        <w:t>Zadávací dokumentace k této veřejné zakázce</w:t>
      </w:r>
      <w:r w:rsidR="00302078">
        <w:rPr>
          <w:rFonts w:ascii="Palatino Linotype" w:hAnsi="Palatino Linotype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F16186" w:rsidRPr="002171B1" w:rsidRDefault="00F16186" w:rsidP="003F6D44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</w:t>
            </w:r>
            <w:r w:rsidR="00F16CC5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</w:t>
            </w:r>
            <w:r w:rsidR="00F16CC5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</w:t>
            </w:r>
            <w:r w:rsidR="00F16CC5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29708E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="005A14ED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</w:t>
      </w:r>
      <w:r w:rsidR="0029708E">
        <w:rPr>
          <w:rFonts w:ascii="Palatino Linotype" w:hAnsi="Palatino Linotype"/>
        </w:rPr>
        <w:t xml:space="preserve"> čl. 4 odst. IV. písm. c) </w:t>
      </w:r>
      <w:r w:rsidR="002C68C8">
        <w:rPr>
          <w:rFonts w:ascii="Palatino Linotype" w:hAnsi="Palatino Linotype"/>
        </w:rPr>
        <w:t>Zadávací dokumentace k této veřejné zakázce:</w:t>
      </w: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F16186" w:rsidRDefault="00F16186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F16186" w:rsidRPr="00ED10BA" w:rsidRDefault="00F16186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F16186" w:rsidRPr="002171B1" w:rsidRDefault="00F16186" w:rsidP="003F6D44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</w:t>
            </w:r>
            <w:r>
              <w:rPr>
                <w:rFonts w:ascii="Palatino Linotype" w:hAnsi="Palatino Linotype" w:cs="Calibri"/>
                <w:b/>
                <w:bCs/>
              </w:rPr>
              <w:t xml:space="preserve"> vedoucích</w:t>
            </w:r>
            <w:r w:rsidRPr="002171B1">
              <w:rPr>
                <w:rFonts w:ascii="Palatino Linotype" w:hAnsi="Palatino Linotype" w:cs="Calibri"/>
                <w:b/>
                <w:bCs/>
              </w:rPr>
              <w:t xml:space="preserve">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</w:t>
            </w:r>
            <w:r w:rsidR="00F16CC5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</w:t>
            </w:r>
            <w:r w:rsidR="00F16CC5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CC5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91297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912973" w:rsidP="0029708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 xml:space="preserve">oprávněné </w:t>
      </w:r>
      <w:r w:rsidR="0029708E">
        <w:rPr>
          <w:rFonts w:ascii="Palatino Linotype" w:hAnsi="Palatino Linotype"/>
        </w:rPr>
        <w:t>zastupovat</w:t>
      </w:r>
      <w:r w:rsidR="00302078" w:rsidRPr="00E828DD">
        <w:rPr>
          <w:rFonts w:ascii="Palatino Linotype" w:hAnsi="Palatino Linotype"/>
        </w:rPr>
        <w:t xml:space="preserve">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912973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973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 xml:space="preserve">oprávněné </w:t>
      </w:r>
      <w:r w:rsidR="0029708E">
        <w:rPr>
          <w:rFonts w:ascii="Palatino Linotype" w:hAnsi="Palatino Linotype" w:cs="Arial"/>
        </w:rPr>
        <w:t>zastupovat</w:t>
      </w:r>
      <w:r w:rsidR="00302078" w:rsidRPr="00E828DD">
        <w:rPr>
          <w:rFonts w:ascii="Palatino Linotype" w:hAnsi="Palatino Linotype" w:cs="Arial"/>
        </w:rPr>
        <w:t xml:space="preserve">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28" w:rsidRDefault="005D3128" w:rsidP="0003428A">
      <w:pPr>
        <w:spacing w:after="0" w:line="240" w:lineRule="auto"/>
      </w:pPr>
      <w:r>
        <w:separator/>
      </w:r>
    </w:p>
  </w:endnote>
  <w:endnote w:type="continuationSeparator" w:id="1">
    <w:p w:rsidR="005D3128" w:rsidRDefault="005D312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28" w:rsidRDefault="005D3128" w:rsidP="0003428A">
      <w:pPr>
        <w:spacing w:after="0" w:line="240" w:lineRule="auto"/>
      </w:pPr>
      <w:r>
        <w:separator/>
      </w:r>
    </w:p>
  </w:footnote>
  <w:footnote w:type="continuationSeparator" w:id="1">
    <w:p w:rsidR="005D3128" w:rsidRDefault="005D312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3E" w:rsidRPr="00B37C8C" w:rsidRDefault="00BE7B3E" w:rsidP="00BE7B3E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BE7B3E" w:rsidRPr="00D107A3" w:rsidRDefault="00BE7B3E" w:rsidP="00BE7B3E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BE7B3E" w:rsidRPr="00D107A3" w:rsidRDefault="00BE7B3E" w:rsidP="00BE7B3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1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BE7B3E" w:rsidRPr="00B37C8C" w:rsidRDefault="00BE7B3E" w:rsidP="00BE7B3E">
    <w:pPr>
      <w:pStyle w:val="Zhlav"/>
      <w:jc w:val="center"/>
    </w:pPr>
  </w:p>
  <w:p w:rsidR="00F16CC5" w:rsidRPr="009A1B6C" w:rsidRDefault="00F16CC5" w:rsidP="00F16CC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68C8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BE0E3E"/>
    <w:rsid w:val="00BE7B3E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AutoShape 14"/>
        <o:r id="V:Rule13" type="connector" idref="#AutoShape 29"/>
        <o:r id="V:Rule14" type="connector" idref="#AutoShape 16"/>
        <o:r id="V:Rule15" type="connector" idref="#AutoShape 15"/>
        <o:r id="V:Rule16" type="connector" idref="#AutoShape 30"/>
        <o:r id="V:Rule17" type="connector" idref="#AutoShape 27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2015-02-22T12:19:00Z</dcterms:created>
  <dcterms:modified xsi:type="dcterms:W3CDTF">2015-02-22T12:19:00Z</dcterms:modified>
</cp:coreProperties>
</file>