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F0EB6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DF1D97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B50A64" w:rsidP="00C33AC5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2.75pt;width:463.5pt;height:17.8pt;z-index:-251666944" fillcolor="#f2f2f2"/>
        </w:pict>
      </w:r>
      <w:r w:rsidR="007A4380"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="007A4380"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2541DD" w:rsidRDefault="002541DD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33AC5" w:rsidRDefault="00C33AC5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2541DD" w:rsidRPr="00566C33" w:rsidRDefault="002541DD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33AC5" w:rsidRPr="005F325C" w:rsidRDefault="00C33AC5" w:rsidP="00C33AC5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C33AC5" w:rsidRPr="005F325C" w:rsidRDefault="00C33AC5" w:rsidP="00C33AC5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C33AC5" w:rsidRPr="00566C33" w:rsidRDefault="00C33AC5" w:rsidP="00C33AC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33AC5" w:rsidRPr="00FC0E05" w:rsidRDefault="00C33AC5" w:rsidP="00C33AC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DA3037">
        <w:rPr>
          <w:b/>
          <w:bCs/>
          <w:sz w:val="24"/>
          <w:szCs w:val="24"/>
        </w:rPr>
        <w:t>Obec Bílá Třemešná</w:t>
      </w:r>
    </w:p>
    <w:p w:rsidR="00C33AC5" w:rsidRPr="00F07EF3" w:rsidRDefault="00C33AC5" w:rsidP="00C33AC5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C33AC5" w:rsidRPr="00474EEC" w:rsidRDefault="00C33AC5" w:rsidP="00C33AC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C33AC5" w:rsidRPr="00F07EF3" w:rsidRDefault="00C33AC5" w:rsidP="00C33AC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C33AC5" w:rsidRPr="00AD218A" w:rsidRDefault="00C33AC5" w:rsidP="00C33AC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C33AC5" w:rsidRPr="00F07EF3" w:rsidRDefault="00C33AC5" w:rsidP="00C33AC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C33AC5" w:rsidRPr="00F07EF3" w:rsidRDefault="00C33AC5" w:rsidP="00C33AC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č. ú. 222912654/0300</w:t>
      </w:r>
    </w:p>
    <w:p w:rsidR="00DF1D97" w:rsidRPr="00566C33" w:rsidRDefault="00DF1D97" w:rsidP="00DF1D9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A4380" w:rsidRPr="00C33AC5" w:rsidRDefault="00DF1D97" w:rsidP="00DF1D97">
      <w:pPr>
        <w:pStyle w:val="Prosttext1"/>
        <w:spacing w:after="0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33AC5">
        <w:rPr>
          <w:rFonts w:asciiTheme="minorHAnsi" w:hAnsiTheme="minorHAnsi" w:cs="Arial"/>
          <w:sz w:val="24"/>
          <w:szCs w:val="24"/>
          <w:lang w:val="cs-CZ"/>
        </w:rPr>
        <w:t xml:space="preserve">Ve smyslu ustanovení 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 xml:space="preserve">§ 56 odst. </w:t>
      </w:r>
      <w:r w:rsidR="005B0797" w:rsidRPr="00C33AC5">
        <w:rPr>
          <w:rFonts w:asciiTheme="minorHAnsi" w:hAnsiTheme="minorHAnsi" w:cs="Arial"/>
          <w:sz w:val="24"/>
          <w:szCs w:val="24"/>
          <w:lang w:val="cs-CZ"/>
        </w:rPr>
        <w:t>2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 xml:space="preserve"> písm. a) zákona č. 137/2006 Sb., o veřejných zakázkách, v platném znění</w:t>
      </w:r>
      <w:r w:rsidR="000E73B0" w:rsidRPr="00C33AC5">
        <w:rPr>
          <w:rFonts w:asciiTheme="minorHAnsi" w:hAnsiTheme="minorHAnsi" w:cs="Arial"/>
          <w:sz w:val="24"/>
          <w:szCs w:val="24"/>
          <w:lang w:val="cs-CZ"/>
        </w:rPr>
        <w:t xml:space="preserve"> (dále jen „zákon“)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>, a zároveň ustanovením zadávací dokumentace o technických kvalifika</w:t>
      </w:r>
      <w:r w:rsidR="00956028" w:rsidRPr="00C33AC5">
        <w:rPr>
          <w:rFonts w:asciiTheme="minorHAnsi" w:hAnsiTheme="minorHAnsi" w:cs="Arial"/>
          <w:sz w:val="24"/>
          <w:szCs w:val="24"/>
          <w:lang w:val="cs-CZ"/>
        </w:rPr>
        <w:t xml:space="preserve">čních </w:t>
      </w:r>
      <w:r w:rsidR="007F0874" w:rsidRPr="00C33AC5">
        <w:rPr>
          <w:rFonts w:asciiTheme="minorHAnsi" w:hAnsiTheme="minorHAnsi" w:cs="Arial"/>
          <w:sz w:val="24"/>
          <w:szCs w:val="24"/>
          <w:lang w:val="cs-CZ"/>
        </w:rPr>
        <w:t xml:space="preserve">předpokladech je uchazeč 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>ke každé referenční zakázce uvedené v referenčním listu povinen přiložit:</w:t>
      </w:r>
    </w:p>
    <w:p w:rsidR="007A4380" w:rsidRPr="00C33AC5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r w:rsidRPr="00C33AC5">
        <w:rPr>
          <w:b/>
          <w:iCs/>
          <w:sz w:val="24"/>
          <w:szCs w:val="24"/>
        </w:rPr>
        <w:t>1.</w:t>
      </w:r>
      <w:r w:rsidRPr="00C33AC5">
        <w:rPr>
          <w:b/>
          <w:sz w:val="24"/>
          <w:szCs w:val="24"/>
        </w:rPr>
        <w:tab/>
        <w:t>osvědčení vydané veřejným zadavatelem, pokud byly služby poskytovány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0" w:name="p56-2-a-2"/>
      <w:bookmarkEnd w:id="0"/>
      <w:r w:rsidRPr="00C33AC5">
        <w:rPr>
          <w:b/>
          <w:iCs/>
          <w:sz w:val="24"/>
          <w:szCs w:val="24"/>
        </w:rPr>
        <w:t>2.</w:t>
      </w:r>
      <w:r w:rsidRPr="00C33AC5">
        <w:rPr>
          <w:b/>
          <w:sz w:val="24"/>
          <w:szCs w:val="24"/>
        </w:rPr>
        <w:tab/>
        <w:t>osvědčení vydané jinou osobou, pokud byly služby poskytovány jiné osobě než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1" w:name="p56-2-a-3"/>
      <w:bookmarkEnd w:id="1"/>
      <w:r w:rsidRPr="00C33AC5">
        <w:rPr>
          <w:b/>
          <w:iCs/>
          <w:sz w:val="24"/>
          <w:szCs w:val="24"/>
        </w:rPr>
        <w:t>3.</w:t>
      </w:r>
      <w:r w:rsidRPr="00C33AC5">
        <w:rPr>
          <w:b/>
          <w:sz w:val="24"/>
          <w:szCs w:val="24"/>
        </w:rPr>
        <w:tab/>
        <w:t>smlouva s jinou osobou</w:t>
      </w:r>
      <w:r w:rsidR="001C305C">
        <w:rPr>
          <w:b/>
          <w:sz w:val="24"/>
          <w:szCs w:val="24"/>
        </w:rPr>
        <w:t xml:space="preserve"> (objednatelem)</w:t>
      </w:r>
      <w:bookmarkStart w:id="2" w:name="_GoBack"/>
      <w:bookmarkEnd w:id="2"/>
      <w:r w:rsidRPr="00C33AC5">
        <w:rPr>
          <w:b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F60274" w:rsidRPr="00C33AC5" w:rsidRDefault="00F60274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839A5" w:rsidRPr="00C33AC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33AC5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C33AC5">
        <w:rPr>
          <w:rFonts w:asciiTheme="minorHAnsi" w:hAnsiTheme="minorHAnsi" w:cs="Arial"/>
          <w:sz w:val="24"/>
          <w:szCs w:val="24"/>
        </w:rPr>
        <w:t>P</w:t>
      </w:r>
      <w:r w:rsidRPr="00C33AC5">
        <w:rPr>
          <w:rFonts w:asciiTheme="minorHAnsi" w:hAnsiTheme="minorHAnsi" w:cs="Arial"/>
          <w:sz w:val="24"/>
          <w:szCs w:val="24"/>
        </w:rPr>
        <w:t xml:space="preserve">říloze č. </w:t>
      </w:r>
      <w:r w:rsidR="00DF1D97" w:rsidRPr="00C33AC5">
        <w:rPr>
          <w:rFonts w:asciiTheme="minorHAnsi" w:hAnsiTheme="minorHAnsi" w:cs="Arial"/>
          <w:sz w:val="24"/>
          <w:szCs w:val="24"/>
        </w:rPr>
        <w:t>6</w:t>
      </w:r>
      <w:r w:rsidRPr="00C33AC5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C33AC5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C33AC5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C33AC5">
        <w:rPr>
          <w:rFonts w:asciiTheme="minorHAnsi" w:hAnsiTheme="minorHAnsi" w:cs="Arial"/>
          <w:sz w:val="24"/>
          <w:szCs w:val="24"/>
        </w:rPr>
        <w:t>referenční zakáz</w:t>
      </w:r>
      <w:r w:rsidR="00744C4E" w:rsidRPr="00C33AC5">
        <w:rPr>
          <w:rFonts w:asciiTheme="minorHAnsi" w:hAnsiTheme="minorHAnsi" w:cs="Arial"/>
          <w:sz w:val="24"/>
          <w:szCs w:val="24"/>
        </w:rPr>
        <w:t>ce</w:t>
      </w:r>
      <w:r w:rsidR="002A44DC" w:rsidRPr="00C33AC5">
        <w:rPr>
          <w:rFonts w:asciiTheme="minorHAnsi" w:hAnsiTheme="minorHAnsi" w:cs="Arial"/>
          <w:sz w:val="24"/>
          <w:szCs w:val="24"/>
        </w:rPr>
        <w:t>.</w:t>
      </w:r>
    </w:p>
    <w:p w:rsidR="00DF1D97" w:rsidRDefault="00DF1D97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B50A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0A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B50A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B50A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0A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B50A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B50A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0A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9705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</w:t>
      </w:r>
      <w:r w:rsidR="00DF1D97">
        <w:rPr>
          <w:rFonts w:asciiTheme="minorHAnsi" w:hAnsiTheme="minorHAnsi" w:cs="Arial"/>
          <w:b/>
          <w:sz w:val="24"/>
          <w:szCs w:val="24"/>
        </w:rPr>
        <w:t xml:space="preserve">služeb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</w:t>
      </w:r>
      <w:r w:rsidR="00F60274">
        <w:rPr>
          <w:rFonts w:asciiTheme="minorHAnsi" w:hAnsiTheme="minorHAnsi" w:cs="Arial"/>
          <w:b/>
          <w:noProof/>
          <w:sz w:val="24"/>
          <w:szCs w:val="24"/>
          <w:lang w:eastAsia="cs-CZ"/>
        </w:rPr>
        <w:t>ho 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18137C" w:rsidRPr="006F0EB6" w:rsidRDefault="00F602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Finanční výše plnění</w:t>
      </w:r>
      <w:r w:rsidR="00C33AC5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 (rozpočtové náklady stavby)</w: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: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  <w:r w:rsidR="00F60274">
        <w:rPr>
          <w:rFonts w:asciiTheme="minorHAnsi" w:hAnsiTheme="minorHAnsi" w:cs="Arial"/>
          <w:b/>
          <w:sz w:val="24"/>
          <w:szCs w:val="24"/>
        </w:rPr>
        <w:t>:</w:t>
      </w:r>
    </w:p>
    <w:p w:rsidR="00246990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B97058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F60274">
        <w:rPr>
          <w:rFonts w:asciiTheme="minorHAnsi" w:hAnsiTheme="minorHAnsi" w:cs="Arial"/>
          <w:b/>
          <w:sz w:val="24"/>
          <w:szCs w:val="24"/>
        </w:rPr>
        <w:t xml:space="preserve"> a časový horizont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F0874" w:rsidRPr="006F0EB6" w:rsidRDefault="00B50A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5B0797">
        <w:rPr>
          <w:rFonts w:asciiTheme="minorHAnsi" w:hAnsiTheme="minorHAnsi" w:cs="Arial"/>
          <w:sz w:val="24"/>
          <w:szCs w:val="24"/>
        </w:rPr>
        <w:t>2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B50A64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B50A64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50A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2541DD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B50A64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2541DD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E257E8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3F" w:rsidRDefault="0075133F" w:rsidP="0003428A">
      <w:pPr>
        <w:spacing w:after="0" w:line="240" w:lineRule="auto"/>
      </w:pPr>
      <w:r>
        <w:separator/>
      </w:r>
    </w:p>
  </w:endnote>
  <w:endnote w:type="continuationSeparator" w:id="1">
    <w:p w:rsidR="0075133F" w:rsidRDefault="0075133F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E257E8" w:rsidRDefault="00E257E8" w:rsidP="00E257E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3F" w:rsidRDefault="0075133F" w:rsidP="0003428A">
      <w:pPr>
        <w:spacing w:after="0" w:line="240" w:lineRule="auto"/>
      </w:pPr>
      <w:r>
        <w:separator/>
      </w:r>
    </w:p>
  </w:footnote>
  <w:footnote w:type="continuationSeparator" w:id="1">
    <w:p w:rsidR="0075133F" w:rsidRDefault="0075133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5" w:rsidRPr="005F325C" w:rsidRDefault="00C33AC5" w:rsidP="00C33AC5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3AC5" w:rsidRPr="005F325C" w:rsidRDefault="00C33AC5" w:rsidP="00C33AC5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C33AC5" w:rsidRPr="005F325C" w:rsidRDefault="00C33AC5" w:rsidP="00C33AC5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C33AC5" w:rsidRPr="005F325C" w:rsidRDefault="00C33AC5" w:rsidP="00C33AC5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C33AC5" w:rsidRPr="005F325C" w:rsidRDefault="00C33AC5" w:rsidP="00C33AC5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6580"/>
    <w:rsid w:val="00047FA2"/>
    <w:rsid w:val="00063CFB"/>
    <w:rsid w:val="000703EE"/>
    <w:rsid w:val="000D08F4"/>
    <w:rsid w:val="000E73B0"/>
    <w:rsid w:val="00105C92"/>
    <w:rsid w:val="00134060"/>
    <w:rsid w:val="0014673F"/>
    <w:rsid w:val="00154AAA"/>
    <w:rsid w:val="0018137C"/>
    <w:rsid w:val="001824EA"/>
    <w:rsid w:val="001A4E29"/>
    <w:rsid w:val="001A512B"/>
    <w:rsid w:val="001A773B"/>
    <w:rsid w:val="001B1186"/>
    <w:rsid w:val="001C305C"/>
    <w:rsid w:val="001D0DF7"/>
    <w:rsid w:val="001D6FFB"/>
    <w:rsid w:val="002073FE"/>
    <w:rsid w:val="00235443"/>
    <w:rsid w:val="00246990"/>
    <w:rsid w:val="002541DD"/>
    <w:rsid w:val="002629AB"/>
    <w:rsid w:val="002A438C"/>
    <w:rsid w:val="002A44DC"/>
    <w:rsid w:val="002A5345"/>
    <w:rsid w:val="002E1BC8"/>
    <w:rsid w:val="00304A95"/>
    <w:rsid w:val="00307622"/>
    <w:rsid w:val="003550A8"/>
    <w:rsid w:val="003B2B5D"/>
    <w:rsid w:val="00423D6F"/>
    <w:rsid w:val="00442221"/>
    <w:rsid w:val="0044260A"/>
    <w:rsid w:val="00462EE6"/>
    <w:rsid w:val="004A43A4"/>
    <w:rsid w:val="004B374E"/>
    <w:rsid w:val="004F43E5"/>
    <w:rsid w:val="00500DA8"/>
    <w:rsid w:val="00507AB3"/>
    <w:rsid w:val="0056744A"/>
    <w:rsid w:val="0057792C"/>
    <w:rsid w:val="005A0A4A"/>
    <w:rsid w:val="005B0797"/>
    <w:rsid w:val="005B5719"/>
    <w:rsid w:val="005C4F71"/>
    <w:rsid w:val="005C51E1"/>
    <w:rsid w:val="005F22AF"/>
    <w:rsid w:val="0061745E"/>
    <w:rsid w:val="00622FCF"/>
    <w:rsid w:val="006309B1"/>
    <w:rsid w:val="006411F2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33F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7060F"/>
    <w:rsid w:val="008A641D"/>
    <w:rsid w:val="008B543B"/>
    <w:rsid w:val="00902403"/>
    <w:rsid w:val="00911A3C"/>
    <w:rsid w:val="009165FC"/>
    <w:rsid w:val="00930664"/>
    <w:rsid w:val="009432B2"/>
    <w:rsid w:val="00945A5F"/>
    <w:rsid w:val="00956028"/>
    <w:rsid w:val="009B5E5F"/>
    <w:rsid w:val="009C0751"/>
    <w:rsid w:val="00A04AC6"/>
    <w:rsid w:val="00A14945"/>
    <w:rsid w:val="00A22B6B"/>
    <w:rsid w:val="00A376AE"/>
    <w:rsid w:val="00A45653"/>
    <w:rsid w:val="00A51ACF"/>
    <w:rsid w:val="00A56C5D"/>
    <w:rsid w:val="00A67499"/>
    <w:rsid w:val="00AA4FB2"/>
    <w:rsid w:val="00AA5DB1"/>
    <w:rsid w:val="00AE7FA7"/>
    <w:rsid w:val="00B46D8C"/>
    <w:rsid w:val="00B50A64"/>
    <w:rsid w:val="00B56417"/>
    <w:rsid w:val="00B56860"/>
    <w:rsid w:val="00B6009D"/>
    <w:rsid w:val="00B70D5E"/>
    <w:rsid w:val="00B9541D"/>
    <w:rsid w:val="00B97058"/>
    <w:rsid w:val="00BE67E8"/>
    <w:rsid w:val="00C33AC5"/>
    <w:rsid w:val="00C52F46"/>
    <w:rsid w:val="00C6139C"/>
    <w:rsid w:val="00C83B2A"/>
    <w:rsid w:val="00D060C7"/>
    <w:rsid w:val="00D1747C"/>
    <w:rsid w:val="00D333B5"/>
    <w:rsid w:val="00D477B8"/>
    <w:rsid w:val="00DB26B7"/>
    <w:rsid w:val="00DD294F"/>
    <w:rsid w:val="00DF1D97"/>
    <w:rsid w:val="00E257E8"/>
    <w:rsid w:val="00E341B2"/>
    <w:rsid w:val="00E42F0E"/>
    <w:rsid w:val="00E56CE6"/>
    <w:rsid w:val="00E577AF"/>
    <w:rsid w:val="00E77EC6"/>
    <w:rsid w:val="00E828DD"/>
    <w:rsid w:val="00E83199"/>
    <w:rsid w:val="00EB56D5"/>
    <w:rsid w:val="00EF3FEE"/>
    <w:rsid w:val="00F077D5"/>
    <w:rsid w:val="00F41D18"/>
    <w:rsid w:val="00F47A2B"/>
    <w:rsid w:val="00F60274"/>
    <w:rsid w:val="00F839A5"/>
    <w:rsid w:val="00FA30C1"/>
    <w:rsid w:val="00FA5F24"/>
    <w:rsid w:val="00FB08E3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104"/>
        <o:r id="V:Rule18" type="connector" idref="#_x0000_s1108"/>
        <o:r id="V:Rule19" type="connector" idref="#_x0000_s1103"/>
        <o:r id="V:Rule20" type="connector" idref="#_x0000_s1107"/>
        <o:r id="V:Rule21" type="connector" idref="#_x0000_s1094"/>
        <o:r id="V:Rule22" type="connector" idref="#_x0000_s1101"/>
        <o:r id="V:Rule23" type="connector" idref="#_x0000_s1097"/>
        <o:r id="V:Rule24" type="connector" idref="#_x0000_s1093"/>
        <o:r id="V:Rule25" type="connector" idref="#_x0000_s1095"/>
        <o:r id="V:Rule26" type="connector" idref="#_x0000_s1098"/>
        <o:r id="V:Rule27" type="connector" idref="#_x0000_s1105"/>
        <o:r id="V:Rule28" type="connector" idref="#_x0000_s1100"/>
        <o:r id="V:Rule29" type="connector" idref="#_x0000_s1102"/>
        <o:r id="V:Rule30" type="connector" idref="#_x0000_s1096"/>
        <o:r id="V:Rule31" type="connector" idref="#_x0000_s1106"/>
        <o:r id="V:Rule3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8657-E4C8-47F0-8D40-2E46D0A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2016-03-22T14:27:00Z</dcterms:created>
  <dcterms:modified xsi:type="dcterms:W3CDTF">2016-04-01T07:28:00Z</dcterms:modified>
</cp:coreProperties>
</file>