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4862E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4862E0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382D07" w:rsidRPr="007E0BF9" w:rsidRDefault="00382D07" w:rsidP="00382D07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382D07" w:rsidRDefault="00382D07" w:rsidP="00382D0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82D07" w:rsidRDefault="00382D07" w:rsidP="00382D0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D615A" w:rsidRPr="00556D6C" w:rsidRDefault="00382D07" w:rsidP="00BD615A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BD615A" w:rsidRPr="00556D6C">
        <w:rPr>
          <w:rFonts w:cs="Arial"/>
          <w:b/>
          <w:bCs/>
          <w:sz w:val="24"/>
          <w:szCs w:val="24"/>
        </w:rPr>
        <w:t>OSMOST s.r.o.</w:t>
      </w:r>
    </w:p>
    <w:p w:rsidR="00BD615A" w:rsidRPr="00556D6C" w:rsidRDefault="00BD615A" w:rsidP="00BD615A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BD615A" w:rsidRPr="00556D6C" w:rsidRDefault="00BD615A" w:rsidP="00BD615A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BD615A" w:rsidRPr="00556D6C" w:rsidRDefault="00BD615A" w:rsidP="00BD615A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BD615A" w:rsidRPr="00556D6C" w:rsidRDefault="00BD615A" w:rsidP="00BD615A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BD615A" w:rsidRPr="00556D6C" w:rsidRDefault="00BD615A" w:rsidP="00BD615A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BD615A" w:rsidRPr="00556D6C" w:rsidRDefault="00BD615A" w:rsidP="00BD615A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8" w:history="1"/>
      <w:r w:rsidRPr="00556D6C">
        <w:rPr>
          <w:rFonts w:ascii="Palatino Linotype" w:hAnsi="Palatino Linotype" w:cs="Arial"/>
        </w:rPr>
        <w:t xml:space="preserve"> </w:t>
      </w:r>
    </w:p>
    <w:p w:rsidR="00BD615A" w:rsidRDefault="00BD615A" w:rsidP="00BD615A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BD615A" w:rsidRPr="00556D6C" w:rsidRDefault="00BD615A" w:rsidP="00BD615A">
      <w:pPr>
        <w:tabs>
          <w:tab w:val="left" w:pos="2268"/>
        </w:tabs>
        <w:spacing w:after="0"/>
        <w:rPr>
          <w:rFonts w:ascii="Palatino Linotype" w:hAnsi="Palatino Linotype" w:cs="Arial"/>
        </w:rPr>
      </w:pPr>
    </w:p>
    <w:p w:rsidR="00A76547" w:rsidRPr="00E828DD" w:rsidRDefault="00A76547" w:rsidP="00BD615A">
      <w:pPr>
        <w:tabs>
          <w:tab w:val="left" w:pos="2268"/>
        </w:tabs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4862E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862E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4862E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862E0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4862E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862E0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4862E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4862E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862E0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Pr="00672C2E" w:rsidRDefault="00672C2E" w:rsidP="00672C2E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min.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CD39F1">
        <w:rPr>
          <w:rFonts w:ascii="Palatino Linotype" w:hAnsi="Palatino Linotype"/>
          <w:b/>
          <w:bCs/>
          <w:sz w:val="22"/>
          <w:szCs w:val="22"/>
        </w:rPr>
        <w:t>2</w:t>
      </w:r>
      <w:r w:rsidRPr="00654D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D39F1">
        <w:rPr>
          <w:rFonts w:ascii="Palatino Linotype" w:hAnsi="Palatino Linotype"/>
          <w:b/>
          <w:bCs/>
          <w:sz w:val="22"/>
          <w:szCs w:val="22"/>
        </w:rPr>
        <w:t>referenc</w:t>
      </w:r>
      <w:r w:rsidR="00CD39F1" w:rsidRPr="00CD39F1">
        <w:rPr>
          <w:rFonts w:ascii="Palatino Linotype" w:hAnsi="Palatino Linotype"/>
          <w:b/>
          <w:bCs/>
          <w:sz w:val="22"/>
          <w:szCs w:val="22"/>
        </w:rPr>
        <w:t xml:space="preserve">e </w:t>
      </w:r>
      <w:r w:rsidR="00CD39F1" w:rsidRPr="00CD39F1">
        <w:rPr>
          <w:rFonts w:ascii="Palatino Linotype" w:hAnsi="Palatino Linotype" w:cs="Arial"/>
          <w:b/>
          <w:sz w:val="22"/>
          <w:szCs w:val="22"/>
        </w:rPr>
        <w:t>o dodávkách poskytnutých dodavatelem za poslední</w:t>
      </w:r>
      <w:r w:rsidR="00CD39F1">
        <w:rPr>
          <w:rFonts w:ascii="Palatino Linotype" w:hAnsi="Palatino Linotype" w:cs="Arial"/>
          <w:b/>
          <w:sz w:val="22"/>
          <w:szCs w:val="22"/>
        </w:rPr>
        <w:t>ch</w:t>
      </w:r>
      <w:r w:rsidR="00CD39F1" w:rsidRPr="00CD39F1">
        <w:rPr>
          <w:rFonts w:ascii="Palatino Linotype" w:hAnsi="Palatino Linotype" w:cs="Arial"/>
          <w:b/>
          <w:sz w:val="22"/>
          <w:szCs w:val="22"/>
        </w:rPr>
        <w:t xml:space="preserve"> 5 let v </w:t>
      </w:r>
      <w:r w:rsidR="00CD39F1" w:rsidRPr="00CD39F1">
        <w:rPr>
          <w:rFonts w:ascii="Palatino Linotype" w:hAnsi="Palatino Linotype" w:cs="Arial"/>
          <w:b/>
          <w:bCs/>
          <w:sz w:val="22"/>
          <w:szCs w:val="22"/>
        </w:rPr>
        <w:t>hodnotě rozpočtových nákladů každé referenční zakázky min. ve výši 5.000.000,- Kč bez DPH a min. 1 referenci na zpracování odborné studie na zvýšení efektivity výrobního procesu včetně návrhu softwarových a strojních opatření vedoucích ke zvýšení efektivity výroby</w:t>
      </w:r>
      <w:r w:rsidRPr="00654D72">
        <w:rPr>
          <w:rFonts w:ascii="Palatino Linotype" w:hAnsi="Palatino Linotype"/>
          <w:sz w:val="22"/>
          <w:szCs w:val="22"/>
        </w:rPr>
        <w:t>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CD39F1" w:rsidRDefault="00CD39F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CD39F1" w:rsidRDefault="00CD39F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CD39F1" w:rsidRPr="003234A9" w:rsidRDefault="00CD39F1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CD39F1" w:rsidRDefault="00CD39F1" w:rsidP="00CD39F1">
      <w:pPr>
        <w:ind w:left="284" w:firstLine="283"/>
        <w:jc w:val="both"/>
        <w:rPr>
          <w:rFonts w:ascii="Palatino Linotype" w:hAnsi="Palatino Linotype" w:cs="Arial"/>
          <w:b/>
        </w:rPr>
      </w:pPr>
    </w:p>
    <w:p w:rsidR="00CD39F1" w:rsidRPr="00E93C0A" w:rsidRDefault="00CD39F1" w:rsidP="00CD39F1">
      <w:pPr>
        <w:ind w:left="284" w:firstLine="283"/>
        <w:jc w:val="both"/>
        <w:rPr>
          <w:rFonts w:ascii="Palatino Linotype" w:hAnsi="Palatino Linotype" w:cs="Arial"/>
          <w:b/>
        </w:rPr>
      </w:pPr>
      <w:r w:rsidRPr="00E93C0A">
        <w:rPr>
          <w:rFonts w:ascii="Palatino Linotype" w:hAnsi="Palatino Linotype" w:cs="Arial"/>
          <w:b/>
        </w:rPr>
        <w:t>Přílohou referenčního listu obsahujícího seznam významných zakázek musí být ke každé uvedené referenční zakázce:</w:t>
      </w:r>
    </w:p>
    <w:p w:rsidR="00CD39F1" w:rsidRPr="00E93C0A" w:rsidRDefault="00CD39F1" w:rsidP="00CD39F1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osvědčení vydané či podepsané veřejným zadavatelem, pokud bylo plnění poskytnuto veřejnému zadavateli, nebo</w:t>
      </w:r>
    </w:p>
    <w:p w:rsidR="00CD39F1" w:rsidRPr="00E93C0A" w:rsidRDefault="00CD39F1" w:rsidP="00CD39F1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osvědčení vydané jinou osobou, pokud bylo plnění poskytnuto jiné osobě než veřejnému zadavateli, nebo</w:t>
      </w:r>
    </w:p>
    <w:p w:rsidR="00CD39F1" w:rsidRPr="00E93C0A" w:rsidRDefault="00CD39F1" w:rsidP="00CD39F1">
      <w:pPr>
        <w:pStyle w:val="Odstavecseseznamem"/>
        <w:numPr>
          <w:ilvl w:val="1"/>
          <w:numId w:val="2"/>
        </w:numPr>
        <w:ind w:left="709"/>
        <w:contextualSpacing w:val="0"/>
        <w:jc w:val="both"/>
        <w:rPr>
          <w:rFonts w:ascii="Palatino Linotype" w:hAnsi="Palatino Linotype" w:cs="Arial"/>
          <w:i/>
          <w:sz w:val="22"/>
          <w:szCs w:val="22"/>
        </w:rPr>
      </w:pPr>
      <w:r w:rsidRPr="00E93C0A">
        <w:rPr>
          <w:rFonts w:ascii="Palatino Linotype" w:hAnsi="Palatino Linotype" w:cs="Arial"/>
          <w:i/>
          <w:sz w:val="22"/>
          <w:szCs w:val="22"/>
        </w:rPr>
        <w:t>smlouva s jinou osobou a doklad o uskutečnění plnění dodavatele, není-li současně možné osvědčení podle bodu 2 od této osoby získat z důvodu spočívajících na její straně.</w:t>
      </w:r>
    </w:p>
    <w:p w:rsidR="00382D07" w:rsidRDefault="00382D07" w:rsidP="00CD39F1">
      <w:pPr>
        <w:ind w:left="349"/>
        <w:jc w:val="both"/>
        <w:rPr>
          <w:rFonts w:ascii="Palatino Linotype" w:hAnsi="Palatino Linotype" w:cs="Arial"/>
          <w:b/>
          <w:i/>
        </w:rPr>
      </w:pPr>
    </w:p>
    <w:p w:rsidR="00672C2E" w:rsidRPr="00CD39F1" w:rsidRDefault="00CD39F1" w:rsidP="00CD39F1">
      <w:pPr>
        <w:ind w:left="349"/>
        <w:jc w:val="both"/>
        <w:rPr>
          <w:rFonts w:ascii="Palatino Linotype" w:hAnsi="Palatino Linotype" w:cs="Arial"/>
          <w:b/>
          <w:i/>
          <w:u w:val="single"/>
        </w:rPr>
      </w:pPr>
      <w:r w:rsidRPr="00CD39F1">
        <w:rPr>
          <w:rFonts w:ascii="Palatino Linotype" w:hAnsi="Palatino Linotype" w:cs="Arial"/>
          <w:b/>
          <w:i/>
        </w:rPr>
        <w:lastRenderedPageBreak/>
        <w:t xml:space="preserve">Osvědčení či smlouva dle výše uvedených bodů 1. až 3. Budou obsahovat minimálně údaje v rozsahu: </w:t>
      </w:r>
      <w:r w:rsidRPr="00CD39F1">
        <w:rPr>
          <w:rFonts w:ascii="Palatino Linotype" w:hAnsi="Palatino Linotype" w:cs="Arial"/>
          <w:b/>
          <w:i/>
          <w:u w:val="single"/>
        </w:rPr>
        <w:t>název či obchodní firma objednatele, popis realizovaných dodávek, finanční výši plnění, dobu a místo poskytování dodávek, prohlášení, že dodávky byly provedeny řádně a odborně a kontaktní osobu objednatele (telefon, e-mail), u které je možné uvedené informace ověřit.</w:t>
      </w:r>
      <w:r>
        <w:rPr>
          <w:rFonts w:ascii="Palatino Linotype" w:hAnsi="Palatino Linotype" w:cs="Arial"/>
          <w:b/>
          <w:i/>
          <w:u w:val="single"/>
        </w:rPr>
        <w:t xml:space="preserve"> </w:t>
      </w:r>
      <w:r w:rsidR="00672C2E" w:rsidRPr="006C4C62">
        <w:rPr>
          <w:rFonts w:ascii="Palatino Linotype" w:hAnsi="Palatino Linotype"/>
          <w:i/>
        </w:rPr>
        <w:t>Tato osvědčení</w:t>
      </w:r>
      <w:r w:rsidR="00672C2E">
        <w:rPr>
          <w:rFonts w:ascii="Palatino Linotype" w:hAnsi="Palatino Linotype"/>
          <w:i/>
        </w:rPr>
        <w:t xml:space="preserve"> </w:t>
      </w:r>
      <w:r w:rsidR="00672C2E"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="00672C2E"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="00672C2E"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4862E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4862E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862E0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4862E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62E0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33" w:rsidRDefault="00C37833" w:rsidP="0003428A">
      <w:pPr>
        <w:spacing w:after="0" w:line="240" w:lineRule="auto"/>
      </w:pPr>
      <w:r>
        <w:separator/>
      </w:r>
    </w:p>
  </w:endnote>
  <w:end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CD39F1" w:rsidP="00F326EE">
    <w:pPr>
      <w:pStyle w:val="Zpat"/>
      <w:rPr>
        <w:szCs w:val="20"/>
      </w:rPr>
    </w:pPr>
    <w:r w:rsidRPr="00CD39F1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16510</wp:posOffset>
          </wp:positionV>
          <wp:extent cx="2169795" cy="438150"/>
          <wp:effectExtent l="19050" t="0" r="1905" b="0"/>
          <wp:wrapNone/>
          <wp:docPr id="10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D39F1" w:rsidP="00540087">
    <w:pPr>
      <w:pStyle w:val="Zpat"/>
      <w:rPr>
        <w:szCs w:val="20"/>
      </w:rPr>
    </w:pPr>
    <w:r w:rsidRPr="00CD39F1">
      <w:rPr>
        <w:noProof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-220345</wp:posOffset>
          </wp:positionV>
          <wp:extent cx="2847975" cy="561975"/>
          <wp:effectExtent l="19050" t="0" r="0" b="0"/>
          <wp:wrapNone/>
          <wp:docPr id="9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33" w:rsidRDefault="00C37833" w:rsidP="0003428A">
      <w:pPr>
        <w:spacing w:after="0" w:line="240" w:lineRule="auto"/>
      </w:pPr>
      <w:r>
        <w:separator/>
      </w:r>
    </w:p>
  </w:footnote>
  <w:foot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F1" w:rsidRPr="00B41445" w:rsidRDefault="00CD39F1" w:rsidP="00382D07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332230" cy="600075"/>
          <wp:effectExtent l="19050" t="0" r="127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  <w:r w:rsidR="00382D07">
      <w:rPr>
        <w:i/>
        <w:sz w:val="20"/>
        <w:szCs w:val="20"/>
      </w:rPr>
      <w:t>:</w:t>
    </w:r>
  </w:p>
  <w:p w:rsidR="00CD39F1" w:rsidRPr="007E0BF9" w:rsidRDefault="00382D07" w:rsidP="00CD39F1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 xml:space="preserve">„Technologický rozvoj ve firmě Obchodní společnost Most </w:t>
    </w:r>
    <w:r w:rsidR="00CD39F1">
      <w:rPr>
        <w:rFonts w:ascii="Calibri" w:hAnsi="Calibri"/>
        <w:sz w:val="22"/>
        <w:szCs w:val="22"/>
      </w:rPr>
      <w:t>s.r.o.“</w:t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382D07"/>
    <w:rsid w:val="00450239"/>
    <w:rsid w:val="00462EE6"/>
    <w:rsid w:val="00464CAC"/>
    <w:rsid w:val="004862E0"/>
    <w:rsid w:val="004A769A"/>
    <w:rsid w:val="00500DA8"/>
    <w:rsid w:val="00540087"/>
    <w:rsid w:val="0056744A"/>
    <w:rsid w:val="005C51E1"/>
    <w:rsid w:val="005E3B7A"/>
    <w:rsid w:val="005F22AF"/>
    <w:rsid w:val="00624A37"/>
    <w:rsid w:val="006309B1"/>
    <w:rsid w:val="006411F2"/>
    <w:rsid w:val="00672C2E"/>
    <w:rsid w:val="006A0FFF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D615A"/>
    <w:rsid w:val="00BF27B1"/>
    <w:rsid w:val="00C03827"/>
    <w:rsid w:val="00C107BF"/>
    <w:rsid w:val="00C15A85"/>
    <w:rsid w:val="00C37833"/>
    <w:rsid w:val="00C37B0E"/>
    <w:rsid w:val="00CC2E32"/>
    <w:rsid w:val="00CD39F1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163A4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0" type="connector" idref="#AutoShape 16"/>
        <o:r id="V:Rule11" type="connector" idref="#AutoShape 27"/>
        <o:r id="V:Rule12" type="connector" idref="#AutoShape 15"/>
        <o:r id="V:Rule13" type="connector" idref="#AutoShape 13"/>
        <o:r id="V:Rule14" type="connector" idref="#AutoShape 29"/>
        <o:r id="V:Rule15" type="connector" idref="#AutoShape 30"/>
        <o:r id="V:Rule16" type="connector" idref="#AutoShape 26"/>
        <o:r id="V:Rule17" type="connector" idref="#AutoShape 2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D39F1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CD39F1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A12-0C2B-4359-B9B3-4FA949F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2014-05-16T19:08:00Z</dcterms:created>
  <dcterms:modified xsi:type="dcterms:W3CDTF">2014-05-23T10:34:00Z</dcterms:modified>
</cp:coreProperties>
</file>