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C343FB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32410"/>
                <wp:effectExtent l="5080" t="5715" r="1397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2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+7CLJyMCAAA9BAAADgAAAAAAAAAAAAAAAAAuAgAAZHJzL2Uyb0RvYy54&#10;bWxQSwECLQAUAAYACAAAACEAgN9kn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B10AA" w:rsidRPr="00C343FB" w:rsidRDefault="00C343FB" w:rsidP="001B10A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C343FB">
        <w:rPr>
          <w:rFonts w:ascii="Palatino Linotype" w:hAnsi="Palatino Linotype" w:cs="Arial"/>
          <w:b/>
          <w:color w:val="000000"/>
          <w:sz w:val="28"/>
          <w:szCs w:val="28"/>
        </w:rPr>
        <w:t>„Oprava místních komunikací v obci Bernartice</w:t>
      </w:r>
      <w:r w:rsidR="001B10AA" w:rsidRPr="00C343FB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1B10AA" w:rsidRPr="009C4A90" w:rsidRDefault="001B10AA" w:rsidP="001B10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8"/>
          <w:szCs w:val="28"/>
        </w:rPr>
      </w:pPr>
    </w:p>
    <w:p w:rsidR="001B10AA" w:rsidRPr="00B4376D" w:rsidRDefault="001B10AA" w:rsidP="001B10AA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="00C343FB">
        <w:rPr>
          <w:rFonts w:ascii="Palatino Linotype" w:hAnsi="Palatino Linotype" w:cs="Arial"/>
          <w:b/>
          <w:color w:val="000000"/>
        </w:rPr>
        <w:tab/>
      </w:r>
      <w:r w:rsidR="00C343FB">
        <w:rPr>
          <w:rFonts w:ascii="Palatino Linotype" w:hAnsi="Palatino Linotype" w:cs="Arial"/>
          <w:b/>
          <w:color w:val="000000"/>
        </w:rPr>
        <w:tab/>
      </w:r>
      <w:r w:rsidR="00C343FB">
        <w:rPr>
          <w:rFonts w:ascii="Palatino Linotype" w:hAnsi="Palatino Linotype" w:cs="Arial"/>
          <w:b/>
          <w:color w:val="000000"/>
        </w:rPr>
        <w:tab/>
      </w:r>
      <w:r w:rsidR="00C343FB">
        <w:rPr>
          <w:rFonts w:ascii="Palatino Linotype" w:hAnsi="Palatino Linotype" w:cs="Arial"/>
          <w:b/>
          <w:color w:val="000000"/>
        </w:rPr>
        <w:tab/>
        <w:t>Obec Bernartice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C343FB" w:rsidRPr="00453E67" w:rsidRDefault="00C343FB" w:rsidP="00C343F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</w:rPr>
        <w:t xml:space="preserve">se sídlem: </w:t>
      </w:r>
      <w:r w:rsidRPr="00453E67">
        <w:rPr>
          <w:rFonts w:ascii="Palatino Linotype" w:hAnsi="Palatino Linotype"/>
        </w:rPr>
        <w:tab/>
      </w:r>
      <w:r w:rsidRPr="00453E67">
        <w:rPr>
          <w:rFonts w:ascii="Palatino Linotype" w:hAnsi="Palatino Linotype"/>
        </w:rPr>
        <w:tab/>
        <w:t>Bernartice 77, 542 04 Bernartice u Trutnova</w:t>
      </w:r>
    </w:p>
    <w:p w:rsidR="00C343FB" w:rsidRPr="00453E67" w:rsidRDefault="00C343FB" w:rsidP="00C343FB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 xml:space="preserve">IČ: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eastAsia="Times New Roman" w:hAnsi="Palatino Linotype"/>
          <w:lang w:eastAsia="cs-CZ"/>
        </w:rPr>
        <w:t>00277665</w:t>
      </w:r>
    </w:p>
    <w:p w:rsidR="00C343FB" w:rsidRPr="00453E67" w:rsidRDefault="00C343FB" w:rsidP="00C343FB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>DIČ:</w:t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  <w:t>CZ 00277665</w:t>
      </w:r>
    </w:p>
    <w:p w:rsidR="00C343FB" w:rsidRPr="00453E67" w:rsidRDefault="00C343FB" w:rsidP="00C343F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>jejímž jménem jedná: Bc. Václav Schreier, starosta obce</w:t>
      </w:r>
    </w:p>
    <w:p w:rsidR="00C343FB" w:rsidRPr="00453E67" w:rsidRDefault="00C343FB" w:rsidP="00C343F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mobil: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  <w:t>724 180 504</w:t>
      </w:r>
    </w:p>
    <w:p w:rsidR="00C343FB" w:rsidRPr="00453E67" w:rsidRDefault="00C343FB" w:rsidP="00C343F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e-mail: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hyperlink r:id="rId8" w:history="1">
        <w:r w:rsidRPr="00453E67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C343FB" w:rsidRPr="00453E67" w:rsidRDefault="00C343FB" w:rsidP="00C343F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bankovní spojení: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</w:rPr>
        <w:t>1303689399/0800</w:t>
      </w:r>
    </w:p>
    <w:p w:rsidR="00C343FB" w:rsidRPr="00F0217C" w:rsidRDefault="00C343FB" w:rsidP="00C343FB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F12A50" w:rsidRPr="00E828DD" w:rsidRDefault="00F12A50" w:rsidP="001B10A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C343FB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Z8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EhU5n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C343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VN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H2GBY0GFdAXKW2NoxIj+rVvGj63SGlq46olsfot5OB5CxkJO9SwsUZKLMbPmsGMQQK&#10;xG0dG9sHSNgDOkZSTjdS+NEjCh8f5pNFO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Jw6FTR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C343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hw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1A9o0DbHuFJtjW+RHdWrfgb23RIFZUtVI0L020ljcuoz4ncp/mI1ltkNX4BjDMUC&#10;YVrH2vQeEudAjmEpp9tSxNERhh8f5pNFMkV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GCx2HA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343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A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8P88kincLq6NWXkOKaaKzzn7nuUTBK7Lwlou18pZWCzWubxTLk&#10;8Ox8oEWKa0KoqvRGSBkFIBUaYALTyTQmOC0FC84Q5my7q6RFBxIkFH+xR/Dch1m9VyyCdZyw9cX2&#10;RMizDcWlCnjQGNC5WGeN/Fiki/V8Pc9H+WS2HuVpXY+eNlU+mm2yT9P6oa6qOvsZqGV50QnGuArs&#10;rnrN8r/Tw+XlnJV2U+xtDMl79DgvIHv9j6TjZsMyz7LYaXba2uvGQaIx+PKcwhu4v4N9/+hXv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gC4Ak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343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1g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P0sjWA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lastRenderedPageBreak/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</w:p>
    <w:p w:rsidR="005069B2" w:rsidRPr="00D87844" w:rsidRDefault="005069B2" w:rsidP="005069B2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uchazeč prohlašuje, že je dostatečně ekonomicky a finančně způsobilý splnit předmět veřejné zakázky.</w:t>
      </w:r>
    </w:p>
    <w:p w:rsidR="005069B2" w:rsidRPr="00D87844" w:rsidRDefault="005069B2" w:rsidP="005069B2">
      <w:pPr>
        <w:spacing w:before="120" w:after="0" w:line="240" w:lineRule="auto"/>
        <w:ind w:left="284"/>
        <w:jc w:val="both"/>
        <w:rPr>
          <w:rFonts w:ascii="Palatino Linotype" w:hAnsi="Palatino Linotype" w:cs="Arial"/>
          <w:i/>
        </w:rPr>
      </w:pPr>
      <w:bookmarkStart w:id="0" w:name="_GoBack"/>
      <w:bookmarkEnd w:id="0"/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C343FB" w:rsidRDefault="00C343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C343FB" w:rsidRDefault="00C343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C343FB" w:rsidRDefault="00C343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C343FB" w:rsidRDefault="00C343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C343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DUW+TT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l+EQt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C343FB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cf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LAk1x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C343FB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even" r:id="rId9"/>
      <w:headerReference w:type="default" r:id="rId10"/>
      <w:footerReference w:type="default" r:id="rId11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03" w:rsidRDefault="00890903" w:rsidP="0003428A">
      <w:pPr>
        <w:spacing w:after="0" w:line="240" w:lineRule="auto"/>
      </w:pPr>
      <w:r>
        <w:separator/>
      </w:r>
    </w:p>
  </w:endnote>
  <w:endnote w:type="continuationSeparator" w:id="0">
    <w:p w:rsidR="00890903" w:rsidRDefault="0089090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332E17" w:rsidP="00332E17">
    <w:pPr>
      <w:pStyle w:val="Zpat"/>
      <w:tabs>
        <w:tab w:val="left" w:pos="7200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03" w:rsidRDefault="00890903" w:rsidP="0003428A">
      <w:pPr>
        <w:spacing w:after="0" w:line="240" w:lineRule="auto"/>
      </w:pPr>
      <w:r>
        <w:separator/>
      </w:r>
    </w:p>
  </w:footnote>
  <w:footnote w:type="continuationSeparator" w:id="0">
    <w:p w:rsidR="00890903" w:rsidRDefault="0089090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48" w:rsidRDefault="002E2048">
    <w:pPr>
      <w:pStyle w:val="Zhlav"/>
    </w:pPr>
  </w:p>
  <w:p w:rsidR="002E2048" w:rsidRDefault="002E2048" w:rsidP="002E2048">
    <w:pPr>
      <w:spacing w:before="75" w:after="75" w:line="240" w:lineRule="auto"/>
      <w:ind w:left="360" w:right="75"/>
      <w:jc w:val="center"/>
      <w:rPr>
        <w:rFonts w:eastAsia="Times New Roman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4445</wp:posOffset>
          </wp:positionV>
          <wp:extent cx="622935" cy="695325"/>
          <wp:effectExtent l="19050" t="0" r="5715" b="0"/>
          <wp:wrapNone/>
          <wp:docPr id="17" name="obrázek 1" descr="znak obce Nový Bydžov">
            <a:hlinkClick xmlns:a="http://schemas.openxmlformats.org/drawingml/2006/main" r:id="rId1" tooltip="&quot;znak obce Nový Bydž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Nový Bydžov">
                    <a:hlinkClick r:id="rId1" tooltip="&quot;znak obce Nový Bydž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sz w:val="20"/>
        <w:szCs w:val="20"/>
        <w:lang w:eastAsia="cs-CZ"/>
      </w:rPr>
      <w:t>Veřejná zakázka:</w:t>
    </w:r>
  </w:p>
  <w:p w:rsidR="002E2048" w:rsidRDefault="002E2048" w:rsidP="002E2048">
    <w:pPr>
      <w:pStyle w:val="Zhlav"/>
    </w:pPr>
    <w:r>
      <w:tab/>
      <w:t>„Výměna otvorových prvků – oken v Bytovém domě u Jatek č. p. 2122 a č. p. 2123 – 20 BJ v Novém Bydžově“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CA" w:rsidRPr="00327429" w:rsidRDefault="009D2B5F" w:rsidP="009638C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color w:val="0000FF"/>
        <w:sz w:val="21"/>
        <w:szCs w:val="21"/>
        <w:lang w:eastAsia="cs-CZ"/>
      </w:rPr>
      <w:drawing>
        <wp:anchor distT="0" distB="0" distL="114300" distR="114300" simplePos="0" relativeHeight="251666432" behindDoc="0" locked="0" layoutInCell="1" allowOverlap="1" wp14:anchorId="6CA8ABD5" wp14:editId="1DD4F574">
          <wp:simplePos x="0" y="0"/>
          <wp:positionH relativeFrom="column">
            <wp:posOffset>24130</wp:posOffset>
          </wp:positionH>
          <wp:positionV relativeFrom="paragraph">
            <wp:posOffset>-125730</wp:posOffset>
          </wp:positionV>
          <wp:extent cx="825591" cy="819150"/>
          <wp:effectExtent l="0" t="0" r="0" b="0"/>
          <wp:wrapNone/>
          <wp:docPr id="4" name="Obrázek 4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9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8CA" w:rsidRPr="00327429">
      <w:rPr>
        <w:rFonts w:eastAsia="Times New Roman"/>
        <w:lang w:eastAsia="cs-CZ"/>
      </w:rPr>
      <w:t>Veřejná zakázka:</w:t>
    </w:r>
    <w:r w:rsidR="009638CA" w:rsidRPr="009638CA">
      <w:rPr>
        <w:rFonts w:eastAsia="Times New Roman"/>
        <w:noProof/>
        <w:lang w:eastAsia="cs-CZ"/>
      </w:rPr>
      <w:t xml:space="preserve"> </w:t>
    </w:r>
    <w:r w:rsidR="009638CA" w:rsidRPr="009638CA">
      <w:rPr>
        <w:rFonts w:eastAsia="Times New Roman"/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-325755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38CA" w:rsidRPr="00327429" w:rsidRDefault="00C343FB" w:rsidP="009638C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lang w:eastAsia="cs-CZ"/>
      </w:rPr>
      <w:t>„Oprava místních komunikací v obci Bernartice</w:t>
    </w:r>
    <w:r w:rsidR="009638CA" w:rsidRPr="00327429">
      <w:rPr>
        <w:rFonts w:eastAsia="Times New Roman"/>
        <w:lang w:eastAsia="cs-CZ"/>
      </w:rPr>
      <w:t>“</w:t>
    </w:r>
  </w:p>
  <w:p w:rsidR="002E2048" w:rsidRDefault="002E2048" w:rsidP="002E2048">
    <w:pPr>
      <w:tabs>
        <w:tab w:val="left" w:pos="4005"/>
      </w:tabs>
      <w:spacing w:before="75" w:after="75" w:line="240" w:lineRule="auto"/>
      <w:ind w:right="75"/>
      <w:jc w:val="both"/>
    </w:pPr>
  </w:p>
  <w:p w:rsidR="00673D73" w:rsidRPr="001567D8" w:rsidRDefault="00673D73" w:rsidP="00673D73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C0C07"/>
    <w:rsid w:val="000C15DA"/>
    <w:rsid w:val="001028F9"/>
    <w:rsid w:val="0015253C"/>
    <w:rsid w:val="0016501A"/>
    <w:rsid w:val="00190591"/>
    <w:rsid w:val="00196DE5"/>
    <w:rsid w:val="001A4E29"/>
    <w:rsid w:val="001B10AA"/>
    <w:rsid w:val="001F6746"/>
    <w:rsid w:val="00212CD4"/>
    <w:rsid w:val="00224205"/>
    <w:rsid w:val="00235443"/>
    <w:rsid w:val="0024619C"/>
    <w:rsid w:val="002734B4"/>
    <w:rsid w:val="002A5345"/>
    <w:rsid w:val="002A6509"/>
    <w:rsid w:val="002E2048"/>
    <w:rsid w:val="00304A95"/>
    <w:rsid w:val="00332E17"/>
    <w:rsid w:val="0035651B"/>
    <w:rsid w:val="003A1871"/>
    <w:rsid w:val="003B09F8"/>
    <w:rsid w:val="003E5444"/>
    <w:rsid w:val="004065D1"/>
    <w:rsid w:val="004241F7"/>
    <w:rsid w:val="00462EE6"/>
    <w:rsid w:val="00471828"/>
    <w:rsid w:val="004D486E"/>
    <w:rsid w:val="004D519D"/>
    <w:rsid w:val="004E678C"/>
    <w:rsid w:val="004F26EB"/>
    <w:rsid w:val="004F3FC3"/>
    <w:rsid w:val="00500DA8"/>
    <w:rsid w:val="005069B2"/>
    <w:rsid w:val="00544A3B"/>
    <w:rsid w:val="0059389D"/>
    <w:rsid w:val="005C51E1"/>
    <w:rsid w:val="005F22AF"/>
    <w:rsid w:val="00607A56"/>
    <w:rsid w:val="006309B1"/>
    <w:rsid w:val="00640278"/>
    <w:rsid w:val="006411F2"/>
    <w:rsid w:val="00666530"/>
    <w:rsid w:val="00673D73"/>
    <w:rsid w:val="006D40E7"/>
    <w:rsid w:val="006E41F9"/>
    <w:rsid w:val="006E7B5D"/>
    <w:rsid w:val="00703176"/>
    <w:rsid w:val="00744EAA"/>
    <w:rsid w:val="00751DD0"/>
    <w:rsid w:val="0077094E"/>
    <w:rsid w:val="007933E8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90903"/>
    <w:rsid w:val="008E75DB"/>
    <w:rsid w:val="00911A3C"/>
    <w:rsid w:val="009432B2"/>
    <w:rsid w:val="00963879"/>
    <w:rsid w:val="009638CA"/>
    <w:rsid w:val="00964594"/>
    <w:rsid w:val="009974F5"/>
    <w:rsid w:val="009C6EF9"/>
    <w:rsid w:val="009D2B5F"/>
    <w:rsid w:val="00A22B6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C343FB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ernart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s.wikipedia.org/wiki/Soubor:Znak_Nov%C3%BD_Byd%C5%BEov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2013-08-06T04:15:00Z</dcterms:created>
  <dcterms:modified xsi:type="dcterms:W3CDTF">2013-08-23T11:56:00Z</dcterms:modified>
</cp:coreProperties>
</file>