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135408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13540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3B685D" w:rsidRPr="00E06926" w:rsidRDefault="003B685D" w:rsidP="003B685D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E0692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E06926">
        <w:rPr>
          <w:rFonts w:ascii="Palatino Linotype" w:hAnsi="Palatino Linotype" w:cs="Arial"/>
          <w:b/>
          <w:sz w:val="28"/>
          <w:szCs w:val="28"/>
          <w:lang w:val="pl-PL"/>
        </w:rPr>
        <w:t>Výstavba EKO hřiště u mateřské školy v Bernarticích</w:t>
      </w:r>
      <w:r w:rsidRPr="00E0692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3B685D" w:rsidRDefault="003B685D" w:rsidP="003B685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B685D" w:rsidRPr="00E06926" w:rsidRDefault="003B685D" w:rsidP="003B685D">
      <w:pPr>
        <w:tabs>
          <w:tab w:val="left" w:pos="2835"/>
        </w:tabs>
        <w:rPr>
          <w:rFonts w:ascii="Palatino Linotype" w:hAnsi="Palatino Linotype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E06926">
        <w:rPr>
          <w:rFonts w:ascii="Palatino Linotype" w:hAnsi="Palatino Linotype" w:cs="Arial"/>
          <w:b/>
        </w:rPr>
        <w:tab/>
      </w:r>
      <w:r w:rsidRPr="00E06926">
        <w:rPr>
          <w:rFonts w:ascii="Palatino Linotype" w:hAnsi="Palatino Linotype"/>
          <w:b/>
        </w:rPr>
        <w:t>Obec Bernartice</w:t>
      </w:r>
    </w:p>
    <w:p w:rsidR="003B685D" w:rsidRPr="00E06926" w:rsidRDefault="003B685D" w:rsidP="003B685D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</w:rPr>
        <w:t xml:space="preserve">se sídlem: 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Bernartice 77, 542 04 Bernartice u Trutnova</w:t>
      </w:r>
    </w:p>
    <w:p w:rsidR="003B685D" w:rsidRPr="00E06926" w:rsidRDefault="003B685D" w:rsidP="003B685D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 xml:space="preserve">IČ: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00277665</w:t>
      </w:r>
    </w:p>
    <w:p w:rsidR="003B685D" w:rsidRPr="00E06926" w:rsidRDefault="003B685D" w:rsidP="003B685D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>DIČ: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CZ 00277665</w:t>
      </w:r>
    </w:p>
    <w:p w:rsidR="003B685D" w:rsidRPr="00E06926" w:rsidRDefault="003B685D" w:rsidP="003B685D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zastoupen: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Bc. Václavem Schreierem, starostou obce</w:t>
      </w:r>
    </w:p>
    <w:p w:rsidR="003B685D" w:rsidRPr="00E06926" w:rsidRDefault="003B685D" w:rsidP="003B685D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mobil: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+ 420 724 180 504</w:t>
      </w:r>
    </w:p>
    <w:p w:rsidR="003B685D" w:rsidRPr="00E06926" w:rsidRDefault="003B685D" w:rsidP="003B685D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e-mail: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hyperlink r:id="rId7" w:history="1">
        <w:r w:rsidRPr="00E06926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3B685D" w:rsidRPr="00E06926" w:rsidRDefault="003B685D" w:rsidP="003B685D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bankovní spojení: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1303689399/0800</w:t>
      </w:r>
    </w:p>
    <w:p w:rsidR="009D0B9C" w:rsidRDefault="009D0B9C" w:rsidP="00765B67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135408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3540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13540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35408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13540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35408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13540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13540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35408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lastRenderedPageBreak/>
        <w:t>není v likvidaci;</w:t>
      </w:r>
    </w:p>
    <w:p w:rsidR="009D0B9C" w:rsidRPr="00765B6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4157A0" w:rsidRDefault="004157A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13540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13540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35408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135408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C3" w:rsidRDefault="00596EC3" w:rsidP="0003428A">
      <w:pPr>
        <w:spacing w:after="0" w:line="240" w:lineRule="auto"/>
      </w:pPr>
      <w:r>
        <w:separator/>
      </w:r>
    </w:p>
  </w:endnote>
  <w:endnote w:type="continuationSeparator" w:id="1">
    <w:p w:rsidR="00596EC3" w:rsidRDefault="00596EC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C3" w:rsidRDefault="00596EC3" w:rsidP="0003428A">
      <w:pPr>
        <w:spacing w:after="0" w:line="240" w:lineRule="auto"/>
      </w:pPr>
      <w:r>
        <w:separator/>
      </w:r>
    </w:p>
  </w:footnote>
  <w:footnote w:type="continuationSeparator" w:id="1">
    <w:p w:rsidR="00596EC3" w:rsidRDefault="00596EC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5D" w:rsidRPr="009A1B6C" w:rsidRDefault="003B685D" w:rsidP="003B685D">
    <w:pPr>
      <w:spacing w:before="75" w:after="75" w:line="240" w:lineRule="auto"/>
      <w:ind w:left="2832" w:right="75" w:firstLine="708"/>
      <w:jc w:val="both"/>
      <w:rPr>
        <w:sz w:val="24"/>
        <w:szCs w:val="24"/>
        <w:lang w:eastAsia="cs-CZ"/>
      </w:rPr>
    </w:pPr>
    <w:r w:rsidRPr="007D6633"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-182880</wp:posOffset>
          </wp:positionV>
          <wp:extent cx="923925" cy="914400"/>
          <wp:effectExtent l="19050" t="0" r="9525" b="0"/>
          <wp:wrapNone/>
          <wp:docPr id="1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-125730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3B685D" w:rsidRPr="009A1B6C" w:rsidRDefault="003B685D" w:rsidP="003B685D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„Výstavba EKO hřiště u mateřské školy v Bernarticích</w:t>
    </w:r>
    <w:r w:rsidRPr="009A1B6C">
      <w:rPr>
        <w:sz w:val="24"/>
        <w:szCs w:val="24"/>
      </w:rPr>
      <w:t>“</w:t>
    </w:r>
  </w:p>
  <w:p w:rsidR="003B685D" w:rsidRDefault="003B685D" w:rsidP="003B685D">
    <w:pPr>
      <w:spacing w:before="75" w:after="75" w:line="240" w:lineRule="auto"/>
      <w:ind w:right="75"/>
    </w:pPr>
  </w:p>
  <w:p w:rsidR="00673D73" w:rsidRPr="003B685D" w:rsidRDefault="00673D73" w:rsidP="003B68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35408"/>
    <w:rsid w:val="0016501A"/>
    <w:rsid w:val="00190591"/>
    <w:rsid w:val="00196DE5"/>
    <w:rsid w:val="001A4E29"/>
    <w:rsid w:val="001B0C49"/>
    <w:rsid w:val="001E57BF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806F4"/>
    <w:rsid w:val="003A1871"/>
    <w:rsid w:val="003B09F8"/>
    <w:rsid w:val="003B685D"/>
    <w:rsid w:val="003D08A8"/>
    <w:rsid w:val="003E5444"/>
    <w:rsid w:val="004157A0"/>
    <w:rsid w:val="004241F7"/>
    <w:rsid w:val="00462EE6"/>
    <w:rsid w:val="00471828"/>
    <w:rsid w:val="00494104"/>
    <w:rsid w:val="004961BD"/>
    <w:rsid w:val="004B3202"/>
    <w:rsid w:val="004D486E"/>
    <w:rsid w:val="004D519D"/>
    <w:rsid w:val="004F26EB"/>
    <w:rsid w:val="004F3FC3"/>
    <w:rsid w:val="00500DA8"/>
    <w:rsid w:val="00544A3B"/>
    <w:rsid w:val="00596EC3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7B5D"/>
    <w:rsid w:val="00751DD0"/>
    <w:rsid w:val="00765B67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A6B78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2015-05-29T16:51:00Z</dcterms:created>
  <dcterms:modified xsi:type="dcterms:W3CDTF">2015-05-29T16:51:00Z</dcterms:modified>
</cp:coreProperties>
</file>