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006998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006998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10553B">
        <w:rPr>
          <w:rFonts w:cs="Arial"/>
          <w:b/>
          <w:sz w:val="24"/>
          <w:szCs w:val="24"/>
        </w:rPr>
        <w:t>3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42D9F" w:rsidRPr="00BA423A" w:rsidRDefault="00542D9F" w:rsidP="00542D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bookmarkStart w:id="0" w:name="_GoBack"/>
      <w:bookmarkEnd w:id="0"/>
      <w:r w:rsidRPr="00BA423A">
        <w:rPr>
          <w:rFonts w:cs="Arial"/>
          <w:b/>
          <w:color w:val="000000"/>
          <w:sz w:val="32"/>
          <w:szCs w:val="32"/>
        </w:rPr>
        <w:t>„ÚZEMNÍ PLÁN SVATOJANSKÝ ÚJEZD</w:t>
      </w:r>
      <w:r w:rsidRPr="00BA423A">
        <w:rPr>
          <w:rFonts w:cs="Arial"/>
          <w:b/>
          <w:i/>
          <w:color w:val="000000"/>
          <w:sz w:val="32"/>
          <w:szCs w:val="32"/>
        </w:rPr>
        <w:t>“</w:t>
      </w:r>
    </w:p>
    <w:p w:rsidR="00542D9F" w:rsidRDefault="00542D9F" w:rsidP="00542D9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542D9F" w:rsidRDefault="00542D9F" w:rsidP="00542D9F">
      <w:pPr>
        <w:spacing w:after="0"/>
        <w:rPr>
          <w:rFonts w:cs="Arial"/>
          <w:b/>
          <w:color w:val="000000"/>
          <w:sz w:val="24"/>
          <w:szCs w:val="24"/>
        </w:rPr>
      </w:pPr>
    </w:p>
    <w:p w:rsidR="00542D9F" w:rsidRPr="00775A98" w:rsidRDefault="00542D9F" w:rsidP="00542D9F">
      <w:pPr>
        <w:spacing w:line="240" w:lineRule="auto"/>
        <w:rPr>
          <w:b/>
          <w:bCs/>
          <w:sz w:val="24"/>
          <w:szCs w:val="24"/>
        </w:rPr>
      </w:pPr>
      <w:r w:rsidRPr="00BA423A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Svatojanský Újezd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542D9F" w:rsidRPr="00775A98" w:rsidRDefault="00542D9F" w:rsidP="00542D9F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Svatojanský Újezd</w:t>
      </w:r>
      <w:r w:rsidRPr="00775A98">
        <w:rPr>
          <w:sz w:val="24"/>
          <w:szCs w:val="24"/>
        </w:rPr>
        <w:t xml:space="preserve"> č</w:t>
      </w:r>
      <w:r>
        <w:rPr>
          <w:sz w:val="24"/>
          <w:szCs w:val="24"/>
        </w:rPr>
        <w:t xml:space="preserve">. </w:t>
      </w:r>
      <w:r w:rsidRPr="00775A98">
        <w:rPr>
          <w:sz w:val="24"/>
          <w:szCs w:val="24"/>
        </w:rPr>
        <w:t xml:space="preserve">p. </w:t>
      </w:r>
      <w:r>
        <w:rPr>
          <w:sz w:val="24"/>
          <w:szCs w:val="24"/>
        </w:rPr>
        <w:t>54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507 81 Lázně Bělohrad</w:t>
      </w:r>
    </w:p>
    <w:p w:rsidR="00542D9F" w:rsidRPr="00775A98" w:rsidRDefault="00542D9F" w:rsidP="00542D9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578606</w:t>
      </w:r>
    </w:p>
    <w:p w:rsidR="00542D9F" w:rsidRPr="00775A98" w:rsidRDefault="00542D9F" w:rsidP="00542D9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>
        <w:rPr>
          <w:bCs/>
          <w:sz w:val="24"/>
          <w:szCs w:val="24"/>
        </w:rPr>
        <w:t>26521-541/0100</w:t>
      </w:r>
    </w:p>
    <w:p w:rsidR="00542D9F" w:rsidRPr="00775A98" w:rsidRDefault="00542D9F" w:rsidP="00542D9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Miroslavem Perným, starostou obce</w:t>
      </w:r>
    </w:p>
    <w:p w:rsidR="00542D9F" w:rsidRDefault="00542D9F" w:rsidP="00542D9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+420 724 236 274</w:t>
      </w:r>
      <w:r w:rsidRPr="00775A98">
        <w:rPr>
          <w:bCs/>
          <w:sz w:val="24"/>
          <w:szCs w:val="24"/>
        </w:rPr>
        <w:tab/>
      </w:r>
    </w:p>
    <w:p w:rsidR="00542D9F" w:rsidRPr="008C61EC" w:rsidRDefault="00542D9F" w:rsidP="00542D9F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8C61EC">
          <w:rPr>
            <w:rStyle w:val="Hypertextovodkaz"/>
            <w:sz w:val="24"/>
            <w:szCs w:val="24"/>
          </w:rPr>
          <w:t>svatojansky.ujezd@tiscali.cz</w:t>
        </w:r>
      </w:hyperlink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006998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0699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006998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06998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006998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06998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006998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006998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006998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1B67B4" w:rsidRDefault="009D0B9C" w:rsidP="009D0B9C">
      <w:pPr>
        <w:spacing w:after="0"/>
        <w:jc w:val="both"/>
        <w:rPr>
          <w:rFonts w:cs="Arial"/>
          <w:b/>
          <w:sz w:val="12"/>
          <w:szCs w:val="12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00699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006998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06998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006998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EF" w:rsidRDefault="004D47EF" w:rsidP="0003428A">
      <w:pPr>
        <w:spacing w:after="0" w:line="240" w:lineRule="auto"/>
      </w:pPr>
      <w:r>
        <w:separator/>
      </w:r>
    </w:p>
  </w:endnote>
  <w:endnote w:type="continuationSeparator" w:id="1">
    <w:p w:rsidR="004D47EF" w:rsidRDefault="004D47E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EF" w:rsidRDefault="004D47EF" w:rsidP="0003428A">
      <w:pPr>
        <w:spacing w:after="0" w:line="240" w:lineRule="auto"/>
      </w:pPr>
      <w:r>
        <w:separator/>
      </w:r>
    </w:p>
  </w:footnote>
  <w:footnote w:type="continuationSeparator" w:id="1">
    <w:p w:rsidR="004D47EF" w:rsidRDefault="004D47E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4F" w:rsidRDefault="00BF744F" w:rsidP="00C71CD7">
    <w:pPr>
      <w:pStyle w:val="Zhlav"/>
      <w:rPr>
        <w:szCs w:val="24"/>
      </w:rPr>
    </w:pPr>
  </w:p>
  <w:p w:rsidR="00542D9F" w:rsidRPr="00BA423A" w:rsidRDefault="00542D9F" w:rsidP="00542D9F">
    <w:pPr>
      <w:tabs>
        <w:tab w:val="center" w:pos="4678"/>
        <w:tab w:val="left" w:pos="5940"/>
      </w:tabs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 w:rsidRPr="00542D9F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-248920</wp:posOffset>
          </wp:positionV>
          <wp:extent cx="685800" cy="885825"/>
          <wp:effectExtent l="19050" t="0" r="0" b="0"/>
          <wp:wrapSquare wrapText="bothSides"/>
          <wp:docPr id="24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sz w:val="24"/>
        <w:szCs w:val="24"/>
        <w:lang w:eastAsia="cs-CZ"/>
      </w:rPr>
      <w:tab/>
    </w:r>
    <w:r w:rsidRPr="00BA423A">
      <w:rPr>
        <w:rFonts w:eastAsia="Times New Roman"/>
        <w:sz w:val="24"/>
        <w:szCs w:val="24"/>
        <w:lang w:eastAsia="cs-CZ"/>
      </w:rPr>
      <w:t>Veřejná zakázka:</w:t>
    </w:r>
    <w:r>
      <w:rPr>
        <w:rFonts w:eastAsia="Times New Roman"/>
        <w:sz w:val="24"/>
        <w:szCs w:val="24"/>
        <w:lang w:eastAsia="cs-CZ"/>
      </w:rPr>
      <w:tab/>
    </w:r>
    <w:r w:rsidRPr="00542D9F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-448945</wp:posOffset>
          </wp:positionV>
          <wp:extent cx="2028825" cy="1009650"/>
          <wp:effectExtent l="19050" t="0" r="9525" b="0"/>
          <wp:wrapNone/>
          <wp:docPr id="2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D9F" w:rsidRPr="00BA423A" w:rsidRDefault="00542D9F" w:rsidP="00542D9F">
    <w:pPr>
      <w:pStyle w:val="Zhlav"/>
      <w:jc w:val="center"/>
      <w:rPr>
        <w:sz w:val="24"/>
        <w:szCs w:val="24"/>
      </w:rPr>
    </w:pPr>
    <w:r w:rsidRPr="00BA423A">
      <w:rPr>
        <w:sz w:val="24"/>
        <w:szCs w:val="24"/>
      </w:rPr>
      <w:t xml:space="preserve"> „ÚZEMNÍ PLÁN SVATOJANSKÝ ÚJEZD“</w:t>
    </w:r>
  </w:p>
  <w:p w:rsidR="00B70D09" w:rsidRDefault="0010553B" w:rsidP="0010553B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73.5pt;height:73.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998"/>
    <w:rsid w:val="0003211B"/>
    <w:rsid w:val="0003428A"/>
    <w:rsid w:val="000C0C07"/>
    <w:rsid w:val="001028F9"/>
    <w:rsid w:val="0010553B"/>
    <w:rsid w:val="00147636"/>
    <w:rsid w:val="0016501A"/>
    <w:rsid w:val="00190591"/>
    <w:rsid w:val="00193CB3"/>
    <w:rsid w:val="00196DE5"/>
    <w:rsid w:val="001A4E29"/>
    <w:rsid w:val="001B67B4"/>
    <w:rsid w:val="001C103B"/>
    <w:rsid w:val="001D04EF"/>
    <w:rsid w:val="001F6746"/>
    <w:rsid w:val="002120BB"/>
    <w:rsid w:val="00212CD4"/>
    <w:rsid w:val="00212F18"/>
    <w:rsid w:val="00214E1F"/>
    <w:rsid w:val="00224205"/>
    <w:rsid w:val="00231803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09C1"/>
    <w:rsid w:val="003F7176"/>
    <w:rsid w:val="004157A0"/>
    <w:rsid w:val="004241F7"/>
    <w:rsid w:val="0046015A"/>
    <w:rsid w:val="004626F7"/>
    <w:rsid w:val="00462EE6"/>
    <w:rsid w:val="00471828"/>
    <w:rsid w:val="00475D4E"/>
    <w:rsid w:val="00494104"/>
    <w:rsid w:val="004961BD"/>
    <w:rsid w:val="004B3202"/>
    <w:rsid w:val="004B4CEF"/>
    <w:rsid w:val="004D47EF"/>
    <w:rsid w:val="004D486E"/>
    <w:rsid w:val="004D519D"/>
    <w:rsid w:val="004F26EB"/>
    <w:rsid w:val="004F3FC3"/>
    <w:rsid w:val="00500DA8"/>
    <w:rsid w:val="00511852"/>
    <w:rsid w:val="005242F1"/>
    <w:rsid w:val="0054088D"/>
    <w:rsid w:val="00542D9F"/>
    <w:rsid w:val="00544A3B"/>
    <w:rsid w:val="00594C27"/>
    <w:rsid w:val="005C42E8"/>
    <w:rsid w:val="005C51E1"/>
    <w:rsid w:val="005D60C8"/>
    <w:rsid w:val="005F22AF"/>
    <w:rsid w:val="00607A56"/>
    <w:rsid w:val="00612CB1"/>
    <w:rsid w:val="006309B1"/>
    <w:rsid w:val="006352C3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6F693A"/>
    <w:rsid w:val="007478BD"/>
    <w:rsid w:val="00750E10"/>
    <w:rsid w:val="00751DD0"/>
    <w:rsid w:val="007620CB"/>
    <w:rsid w:val="00763F15"/>
    <w:rsid w:val="00765B67"/>
    <w:rsid w:val="0077094E"/>
    <w:rsid w:val="007933E8"/>
    <w:rsid w:val="00794B96"/>
    <w:rsid w:val="00796542"/>
    <w:rsid w:val="007C4865"/>
    <w:rsid w:val="007C58E0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0D09"/>
    <w:rsid w:val="00B77C01"/>
    <w:rsid w:val="00B85DE4"/>
    <w:rsid w:val="00B8700C"/>
    <w:rsid w:val="00BF744F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30131"/>
    <w:rsid w:val="00E30E77"/>
    <w:rsid w:val="00E37655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518FD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35"/>
        <o:r id="V:Rule13" type="connector" idref="#_x0000_s1041"/>
        <o:r id="V:Rule14" type="connector" idref="#_x0000_s1034"/>
        <o:r id="V:Rule15" type="connector" idref="#_x0000_s1040"/>
        <o:r id="V:Rule16" type="connector" idref="#_x0000_s1036"/>
        <o:r id="V:Rule17" type="connector" idref="#_x0000_s1033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tojansky.ujezd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2016-09-11T19:41:00Z</dcterms:created>
  <dcterms:modified xsi:type="dcterms:W3CDTF">2016-09-11T19:41:00Z</dcterms:modified>
</cp:coreProperties>
</file>